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2E5DB" w14:textId="2396EFC3" w:rsidR="00282B32" w:rsidRDefault="008A653B" w:rsidP="00F542FB">
      <w:pPr>
        <w:pStyle w:val="Title"/>
        <w:spacing w:before="1320"/>
      </w:pPr>
      <w:bookmarkStart w:id="0" w:name="_Toc240893889"/>
      <w:bookmarkStart w:id="1" w:name="_Toc240894342"/>
      <w:bookmarkStart w:id="2" w:name="_Toc240894558"/>
      <w:bookmarkStart w:id="3" w:name="_Toc240897292"/>
      <w:bookmarkStart w:id="4" w:name="_Toc240897554"/>
      <w:bookmarkStart w:id="5" w:name="_Toc240956366"/>
      <w:bookmarkStart w:id="6" w:name="_Toc240956424"/>
      <w:bookmarkStart w:id="7" w:name="_Toc240960022"/>
      <w:r>
        <w:rPr>
          <w:b w:val="0"/>
          <w:bCs/>
          <w:noProof/>
        </w:rPr>
        <w:drawing>
          <wp:anchor distT="0" distB="0" distL="114300" distR="114300" simplePos="0" relativeHeight="251658240" behindDoc="1" locked="0" layoutInCell="1" allowOverlap="1" wp14:anchorId="2F702997" wp14:editId="7A5F8078">
            <wp:simplePos x="0" y="0"/>
            <wp:positionH relativeFrom="page">
              <wp:posOffset>-124287</wp:posOffset>
            </wp:positionH>
            <wp:positionV relativeFrom="paragraph">
              <wp:posOffset>-657213</wp:posOffset>
            </wp:positionV>
            <wp:extent cx="7745730" cy="12526023"/>
            <wp:effectExtent l="0" t="0" r="7620" b="0"/>
            <wp:wrapNone/>
            <wp:docPr id="13190738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073850" name="Picture 1319073850"/>
                    <pic:cNvPicPr/>
                  </pic:nvPicPr>
                  <pic:blipFill rotWithShape="1">
                    <a:blip r:embed="rId11">
                      <a:extLst>
                        <a:ext uri="{28A0092B-C50C-407E-A947-70E740481C1C}">
                          <a14:useLocalDpi xmlns:a14="http://schemas.microsoft.com/office/drawing/2010/main" val="0"/>
                        </a:ext>
                      </a:extLst>
                    </a:blip>
                    <a:srcRect l="-1032" t="3403" r="1032" b="-17735"/>
                    <a:stretch>
                      <a:fillRect/>
                    </a:stretch>
                  </pic:blipFill>
                  <pic:spPr bwMode="auto">
                    <a:xfrm>
                      <a:off x="0" y="0"/>
                      <a:ext cx="7745994" cy="12526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0"/>
      <w:bookmarkEnd w:id="1"/>
      <w:bookmarkEnd w:id="2"/>
      <w:bookmarkEnd w:id="3"/>
      <w:bookmarkEnd w:id="4"/>
      <w:r w:rsidR="00F542FB" w:rsidRPr="00F542FB">
        <w:t>NACCHO Artificial Intelligence Governance Toolkit</w:t>
      </w:r>
      <w:bookmarkEnd w:id="5"/>
      <w:bookmarkEnd w:id="6"/>
      <w:bookmarkEnd w:id="7"/>
    </w:p>
    <w:p w14:paraId="35519197" w14:textId="77777777" w:rsidR="002C359D" w:rsidRPr="002C359D" w:rsidRDefault="002C359D" w:rsidP="002C359D">
      <w:pPr>
        <w:pStyle w:val="Authorspublicationinfo"/>
        <w:rPr>
          <w:b/>
          <w:bCs/>
        </w:rPr>
      </w:pPr>
      <w:bookmarkStart w:id="8" w:name="_Toc238564191"/>
      <w:bookmarkStart w:id="9" w:name="_Toc239257349"/>
      <w:bookmarkStart w:id="10" w:name="_Toc239257500"/>
      <w:bookmarkStart w:id="11" w:name="_Toc240894344"/>
      <w:bookmarkStart w:id="12" w:name="_Toc240894560"/>
      <w:bookmarkStart w:id="13" w:name="_Toc240897403"/>
      <w:bookmarkStart w:id="14" w:name="_Toc240897556"/>
      <w:bookmarkStart w:id="15" w:name="_Toc240956367"/>
      <w:r w:rsidRPr="002C359D">
        <w:rPr>
          <w:b/>
          <w:bCs/>
        </w:rPr>
        <w:t>A NACCHO Digital Health Resource</w:t>
      </w:r>
      <w:bookmarkEnd w:id="8"/>
      <w:bookmarkEnd w:id="9"/>
      <w:bookmarkEnd w:id="10"/>
      <w:bookmarkEnd w:id="11"/>
      <w:bookmarkEnd w:id="12"/>
      <w:bookmarkEnd w:id="13"/>
      <w:bookmarkEnd w:id="14"/>
      <w:bookmarkEnd w:id="15"/>
    </w:p>
    <w:p w14:paraId="7E879269" w14:textId="52B6B43B" w:rsidR="00BA6977" w:rsidRDefault="00272BA7" w:rsidP="00B31376">
      <w:pPr>
        <w:pStyle w:val="Authorspublicationinfo"/>
      </w:pPr>
      <w:bookmarkStart w:id="16" w:name="_Toc240894345"/>
      <w:bookmarkStart w:id="17" w:name="_Toc240894561"/>
      <w:bookmarkStart w:id="18" w:name="_Toc240897404"/>
      <w:bookmarkStart w:id="19" w:name="_Toc240897557"/>
      <w:bookmarkStart w:id="20" w:name="_Toc240956368"/>
      <w:r w:rsidRPr="00BA6977">
        <w:t>Publication date</w:t>
      </w:r>
      <w:r w:rsidR="002C359D">
        <w:t xml:space="preserve"> 2</w:t>
      </w:r>
      <w:r w:rsidR="005463F1">
        <w:t>3</w:t>
      </w:r>
      <w:r w:rsidR="002C359D">
        <w:t xml:space="preserve"> </w:t>
      </w:r>
      <w:r w:rsidR="005463F1">
        <w:t>September</w:t>
      </w:r>
      <w:r w:rsidR="002C359D">
        <w:t xml:space="preserve"> 2026</w:t>
      </w:r>
      <w:r w:rsidRPr="00BA6977">
        <w:t xml:space="preserve"> </w:t>
      </w:r>
      <w:r w:rsidRPr="00BA6977">
        <w:br/>
        <w:t>Version #</w:t>
      </w:r>
      <w:r w:rsidR="002C359D">
        <w:t xml:space="preserve"> 1.</w:t>
      </w:r>
      <w:bookmarkEnd w:id="16"/>
      <w:r w:rsidR="003A08E7">
        <w:t>2</w:t>
      </w:r>
      <w:bookmarkEnd w:id="17"/>
      <w:bookmarkEnd w:id="18"/>
      <w:bookmarkEnd w:id="19"/>
      <w:bookmarkEnd w:id="20"/>
    </w:p>
    <w:p w14:paraId="7B8EB9E5" w14:textId="7078C502" w:rsidR="003E14BA" w:rsidRDefault="00956743">
      <w:pPr>
        <w:tabs>
          <w:tab w:val="clear" w:pos="284"/>
          <w:tab w:val="clear" w:pos="567"/>
          <w:tab w:val="clear" w:pos="851"/>
        </w:tabs>
        <w:spacing w:after="0" w:line="240" w:lineRule="auto"/>
        <w:rPr>
          <w:rFonts w:asciiTheme="majorHAnsi" w:eastAsiaTheme="majorEastAsia" w:hAnsiTheme="majorHAnsi" w:cstheme="majorBidi"/>
          <w:b/>
          <w:color w:val="661230" w:themeColor="accent2"/>
          <w:sz w:val="28"/>
          <w:szCs w:val="32"/>
        </w:rPr>
      </w:pPr>
      <w:r>
        <w:rPr>
          <w:noProof/>
        </w:rPr>
        <w:drawing>
          <wp:anchor distT="0" distB="0" distL="114300" distR="114300" simplePos="0" relativeHeight="251658245" behindDoc="0" locked="0" layoutInCell="1" allowOverlap="1" wp14:anchorId="0A1A0FE5" wp14:editId="72C10D94">
            <wp:simplePos x="0" y="0"/>
            <wp:positionH relativeFrom="margin">
              <wp:posOffset>1300</wp:posOffset>
            </wp:positionH>
            <wp:positionV relativeFrom="page">
              <wp:posOffset>9586934</wp:posOffset>
            </wp:positionV>
            <wp:extent cx="2160000" cy="687600"/>
            <wp:effectExtent l="0" t="0" r="0" b="0"/>
            <wp:wrapNone/>
            <wp:docPr id="1259601856"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293954" name="Graphic 4"/>
                    <pic:cNvPicPr/>
                  </pic:nvPicPr>
                  <pic:blipFill>
                    <a:blip r:embed="rId12">
                      <a:extLst>
                        <a:ext uri="{96DAC541-7B7A-43D3-8B79-37D633B846F1}">
                          <asvg:svgBlip xmlns:asvg="http://schemas.microsoft.com/office/drawing/2016/SVG/main" r:embed="rId13"/>
                        </a:ext>
                      </a:extLst>
                    </a:blip>
                    <a:stretch>
                      <a:fillRect/>
                    </a:stretch>
                  </pic:blipFill>
                  <pic:spPr>
                    <a:xfrm>
                      <a:off x="0" y="0"/>
                      <a:ext cx="2160000" cy="687600"/>
                    </a:xfrm>
                    <a:prstGeom prst="rect">
                      <a:avLst/>
                    </a:prstGeom>
                  </pic:spPr>
                </pic:pic>
              </a:graphicData>
            </a:graphic>
            <wp14:sizeRelH relativeFrom="page">
              <wp14:pctWidth>0</wp14:pctWidth>
            </wp14:sizeRelH>
            <wp14:sizeRelV relativeFrom="page">
              <wp14:pctHeight>0</wp14:pctHeight>
            </wp14:sizeRelV>
          </wp:anchor>
        </w:drawing>
      </w:r>
      <w:r w:rsidR="003E14BA">
        <w:br w:type="page"/>
      </w:r>
    </w:p>
    <w:p w14:paraId="3D5B438A" w14:textId="77777777" w:rsidR="0041261F" w:rsidRPr="0041261F" w:rsidRDefault="0041261F" w:rsidP="002C359D">
      <w:pPr>
        <w:pStyle w:val="Heading1"/>
      </w:pPr>
      <w:bookmarkStart w:id="21" w:name="_Toc238465084"/>
      <w:bookmarkStart w:id="22" w:name="_Toc238564193"/>
      <w:bookmarkStart w:id="23" w:name="_Toc239257351"/>
      <w:bookmarkStart w:id="24" w:name="_Toc239257401"/>
      <w:bookmarkStart w:id="25" w:name="_Toc239257502"/>
      <w:bookmarkStart w:id="26" w:name="_Toc240894562"/>
      <w:bookmarkStart w:id="27" w:name="_Toc240897405"/>
      <w:bookmarkStart w:id="28" w:name="_Toc240897558"/>
      <w:bookmarkStart w:id="29" w:name="_Toc240956369"/>
      <w:bookmarkStart w:id="30" w:name="_Toc240960023"/>
      <w:r w:rsidRPr="0041261F">
        <w:lastRenderedPageBreak/>
        <w:t>Acknowledgements</w:t>
      </w:r>
      <w:bookmarkEnd w:id="21"/>
      <w:bookmarkEnd w:id="22"/>
      <w:bookmarkEnd w:id="23"/>
      <w:bookmarkEnd w:id="24"/>
      <w:bookmarkEnd w:id="25"/>
      <w:bookmarkEnd w:id="26"/>
      <w:bookmarkEnd w:id="27"/>
      <w:bookmarkEnd w:id="28"/>
      <w:bookmarkEnd w:id="29"/>
      <w:bookmarkEnd w:id="30"/>
    </w:p>
    <w:p w14:paraId="713ADE4B" w14:textId="77777777" w:rsidR="0041261F" w:rsidRPr="0041261F" w:rsidRDefault="0041261F" w:rsidP="0041261F">
      <w:pPr>
        <w:rPr>
          <w:b/>
          <w:bCs/>
        </w:rPr>
      </w:pPr>
      <w:r w:rsidRPr="0041261F">
        <w:rPr>
          <w:b/>
          <w:bCs/>
        </w:rPr>
        <w:t>Acknowledgement of Country</w:t>
      </w:r>
    </w:p>
    <w:p w14:paraId="7CED8406" w14:textId="0290AC98" w:rsidR="002C359D" w:rsidRPr="0041261F" w:rsidRDefault="0041261F" w:rsidP="00503EB8">
      <w:pPr>
        <w:pStyle w:val="NACCHOtext"/>
      </w:pPr>
      <w:r w:rsidRPr="0041261F">
        <w:t>The National Aboriginal Community Controlled Health Organisation (NACCHO) acknowledges Aboriginal and Torres Strait Islander people as the Traditional Owners of the lands where we live, where we work, and across Australia. NACCHO recognises and pays respect to Elders past, present and emerging across Australia. We thank them for their continuing care and custodianship of land, sea, culture, and community. </w:t>
      </w:r>
    </w:p>
    <w:p w14:paraId="0BF8BA71" w14:textId="77777777" w:rsidR="0041261F" w:rsidRPr="0041261F" w:rsidRDefault="0041261F" w:rsidP="0041261F">
      <w:pPr>
        <w:rPr>
          <w:b/>
          <w:bCs/>
        </w:rPr>
      </w:pPr>
      <w:r w:rsidRPr="0041261F">
        <w:rPr>
          <w:b/>
          <w:bCs/>
        </w:rPr>
        <w:t>Acknowledgements</w:t>
      </w:r>
    </w:p>
    <w:p w14:paraId="275C3E6D" w14:textId="40B06CA6" w:rsidR="0041261F" w:rsidRPr="0041261F" w:rsidRDefault="0041261F" w:rsidP="00503EB8">
      <w:pPr>
        <w:pStyle w:val="NACCHOtext"/>
      </w:pPr>
      <w:r w:rsidRPr="0041261F">
        <w:t>NACCHO sincerely thanks the individuals and organisations who have assisted with the development of this resource. In particular, we acknowledge and thank the NACCHO Clinical Leaders Advisory Group for their input and advice in shaping this work.</w:t>
      </w:r>
    </w:p>
    <w:p w14:paraId="18D39D76" w14:textId="77777777" w:rsidR="0041261F" w:rsidRPr="0041261F" w:rsidRDefault="0041261F" w:rsidP="0041261F">
      <w:r w:rsidRPr="0041261F">
        <w:rPr>
          <w:b/>
          <w:bCs/>
        </w:rPr>
        <w:t>Suggested citation</w:t>
      </w:r>
      <w:r w:rsidRPr="0041261F">
        <w:t xml:space="preserve"> </w:t>
      </w:r>
    </w:p>
    <w:p w14:paraId="578D54CC" w14:textId="30197ED7" w:rsidR="0041261F" w:rsidRPr="00503EB8" w:rsidRDefault="0041261F" w:rsidP="0041261F">
      <w:pPr>
        <w:rPr>
          <w:lang w:val="en-AU"/>
        </w:rPr>
      </w:pPr>
      <w:r w:rsidRPr="0041261F">
        <w:rPr>
          <w:i/>
          <w:iCs/>
        </w:rPr>
        <w:t>National Aboriginal Community Controlled Health Organisation (NACCHO). NACCHO Artificial Intelligence Governance Toolkit. Version 1.0. Canberra: NACCHO; 2026.</w:t>
      </w:r>
    </w:p>
    <w:p w14:paraId="63FB05E7" w14:textId="77777777" w:rsidR="0041261F" w:rsidRPr="0041261F" w:rsidRDefault="0041261F" w:rsidP="0041261F">
      <w:pPr>
        <w:rPr>
          <w:b/>
          <w:bCs/>
        </w:rPr>
      </w:pPr>
      <w:r w:rsidRPr="0041261F">
        <w:rPr>
          <w:b/>
          <w:bCs/>
        </w:rPr>
        <w:t>Continuous Quality Improvement</w:t>
      </w:r>
    </w:p>
    <w:p w14:paraId="5B62FCB7" w14:textId="45256963" w:rsidR="00063E9F" w:rsidRDefault="0041261F" w:rsidP="00F0219B">
      <w:pPr>
        <w:pStyle w:val="NACCHOtext"/>
      </w:pPr>
      <w:r w:rsidRPr="0041261F">
        <w:t>This toolkit is intended to be an evolving resource. ACCHOs and other stakeholders are encouraged to provide feedback on the included resources. Insights will help ensure the toolkit remains practical, relevant and responsive.</w:t>
      </w:r>
      <w:r w:rsidRPr="0041261F">
        <w:rPr>
          <w:b/>
          <w:bCs/>
        </w:rPr>
        <w:t xml:space="preserve"> </w:t>
      </w:r>
      <w:r w:rsidRPr="0041261F">
        <w:t xml:space="preserve">Please provide feedback to </w:t>
      </w:r>
      <w:hyperlink r:id="rId14" w:history="1">
        <w:r w:rsidRPr="0041261F">
          <w:rPr>
            <w:rStyle w:val="Hyperlink"/>
          </w:rPr>
          <w:t>digitalhealth@naccho.org.au</w:t>
        </w:r>
      </w:hyperlink>
      <w:r w:rsidR="00DC6581">
        <w:t>.</w:t>
      </w:r>
    </w:p>
    <w:p w14:paraId="3AB6E74D" w14:textId="19137EB6" w:rsidR="00AC7F42" w:rsidRDefault="00E3414D" w:rsidP="00F0219B">
      <w:pPr>
        <w:pStyle w:val="NACCHOtext"/>
      </w:pPr>
      <w:r>
        <w:br w:type="page"/>
      </w:r>
    </w:p>
    <w:p w14:paraId="128490C1" w14:textId="77777777" w:rsidR="009135B9" w:rsidRDefault="002C359D" w:rsidP="00F01F75">
      <w:pPr>
        <w:pStyle w:val="Heading1"/>
        <w:rPr>
          <w:noProof/>
        </w:rPr>
      </w:pPr>
      <w:bookmarkStart w:id="31" w:name="_Toc240894563"/>
      <w:bookmarkStart w:id="32" w:name="_Toc240897406"/>
      <w:bookmarkStart w:id="33" w:name="_Toc240897559"/>
      <w:bookmarkStart w:id="34" w:name="_Toc240956370"/>
      <w:bookmarkStart w:id="35" w:name="_Toc240960024"/>
      <w:r>
        <w:lastRenderedPageBreak/>
        <w:t>Contents</w:t>
      </w:r>
      <w:bookmarkStart w:id="36" w:name="_Toc238465086"/>
      <w:bookmarkStart w:id="37" w:name="_Toc238564195"/>
      <w:bookmarkStart w:id="38" w:name="_Toc239257353"/>
      <w:bookmarkStart w:id="39" w:name="_Toc239257403"/>
      <w:bookmarkStart w:id="40" w:name="_Toc239257504"/>
      <w:bookmarkStart w:id="41" w:name="_Toc240894564"/>
      <w:bookmarkStart w:id="42" w:name="_Toc240897407"/>
      <w:bookmarkStart w:id="43" w:name="_Toc240897560"/>
      <w:bookmarkStart w:id="44" w:name="_Toc240956371"/>
      <w:bookmarkEnd w:id="31"/>
      <w:bookmarkEnd w:id="32"/>
      <w:bookmarkEnd w:id="33"/>
      <w:bookmarkEnd w:id="34"/>
      <w:bookmarkEnd w:id="35"/>
      <w:r w:rsidR="00F01F75">
        <w:fldChar w:fldCharType="begin"/>
      </w:r>
      <w:r w:rsidR="00F01F75">
        <w:instrText xml:space="preserve"> TOC \o "1-1" \h \z \u </w:instrText>
      </w:r>
      <w:r w:rsidR="00F01F75">
        <w:fldChar w:fldCharType="separate"/>
      </w:r>
    </w:p>
    <w:p w14:paraId="2F2956BA" w14:textId="1D80779F" w:rsidR="009135B9" w:rsidRDefault="009135B9">
      <w:pPr>
        <w:pStyle w:val="TOC1"/>
        <w:rPr>
          <w:rFonts w:asciiTheme="minorHAnsi" w:eastAsiaTheme="minorEastAsia" w:hAnsiTheme="minorHAnsi"/>
          <w:b w:val="0"/>
          <w:noProof/>
          <w:color w:val="auto"/>
          <w:lang w:val="en-AU" w:eastAsia="en-AU"/>
        </w:rPr>
      </w:pPr>
      <w:hyperlink w:anchor="_Toc240960025" w:history="1">
        <w:r w:rsidRPr="00302273">
          <w:rPr>
            <w:rStyle w:val="Hyperlink"/>
            <w:noProof/>
          </w:rPr>
          <w:t>About this toolkit</w:t>
        </w:r>
        <w:r>
          <w:rPr>
            <w:noProof/>
            <w:webHidden/>
          </w:rPr>
          <w:tab/>
        </w:r>
        <w:r>
          <w:rPr>
            <w:noProof/>
            <w:webHidden/>
          </w:rPr>
          <w:fldChar w:fldCharType="begin"/>
        </w:r>
        <w:r>
          <w:rPr>
            <w:noProof/>
            <w:webHidden/>
          </w:rPr>
          <w:instrText xml:space="preserve"> PAGEREF _Toc240960025 \h </w:instrText>
        </w:r>
        <w:r>
          <w:rPr>
            <w:noProof/>
            <w:webHidden/>
          </w:rPr>
        </w:r>
        <w:r>
          <w:rPr>
            <w:noProof/>
            <w:webHidden/>
          </w:rPr>
          <w:fldChar w:fldCharType="separate"/>
        </w:r>
        <w:r w:rsidR="00212FC9">
          <w:rPr>
            <w:noProof/>
            <w:webHidden/>
          </w:rPr>
          <w:t>4</w:t>
        </w:r>
        <w:r>
          <w:rPr>
            <w:noProof/>
            <w:webHidden/>
          </w:rPr>
          <w:fldChar w:fldCharType="end"/>
        </w:r>
      </w:hyperlink>
    </w:p>
    <w:p w14:paraId="5FF0E3B4" w14:textId="603E3D77" w:rsidR="009135B9" w:rsidRDefault="009135B9">
      <w:pPr>
        <w:pStyle w:val="TOC1"/>
        <w:rPr>
          <w:rFonts w:asciiTheme="minorHAnsi" w:eastAsiaTheme="minorEastAsia" w:hAnsiTheme="minorHAnsi"/>
          <w:b w:val="0"/>
          <w:noProof/>
          <w:color w:val="auto"/>
          <w:lang w:val="en-AU" w:eastAsia="en-AU"/>
        </w:rPr>
      </w:pPr>
      <w:hyperlink w:anchor="_Toc240960026" w:history="1">
        <w:r w:rsidRPr="00302273">
          <w:rPr>
            <w:rStyle w:val="Hyperlink"/>
            <w:noProof/>
          </w:rPr>
          <w:t>AI Governance Framework</w:t>
        </w:r>
        <w:r>
          <w:rPr>
            <w:noProof/>
            <w:webHidden/>
          </w:rPr>
          <w:tab/>
        </w:r>
        <w:r>
          <w:rPr>
            <w:noProof/>
            <w:webHidden/>
          </w:rPr>
          <w:fldChar w:fldCharType="begin"/>
        </w:r>
        <w:r>
          <w:rPr>
            <w:noProof/>
            <w:webHidden/>
          </w:rPr>
          <w:instrText xml:space="preserve"> PAGEREF _Toc240960026 \h </w:instrText>
        </w:r>
        <w:r>
          <w:rPr>
            <w:noProof/>
            <w:webHidden/>
          </w:rPr>
        </w:r>
        <w:r>
          <w:rPr>
            <w:noProof/>
            <w:webHidden/>
          </w:rPr>
          <w:fldChar w:fldCharType="separate"/>
        </w:r>
        <w:r w:rsidR="00212FC9">
          <w:rPr>
            <w:noProof/>
            <w:webHidden/>
          </w:rPr>
          <w:t>6</w:t>
        </w:r>
        <w:r>
          <w:rPr>
            <w:noProof/>
            <w:webHidden/>
          </w:rPr>
          <w:fldChar w:fldCharType="end"/>
        </w:r>
      </w:hyperlink>
    </w:p>
    <w:p w14:paraId="375C4AD4" w14:textId="52200593" w:rsidR="009135B9" w:rsidRDefault="009135B9">
      <w:pPr>
        <w:pStyle w:val="TOC1"/>
        <w:rPr>
          <w:rFonts w:asciiTheme="minorHAnsi" w:eastAsiaTheme="minorEastAsia" w:hAnsiTheme="minorHAnsi"/>
          <w:b w:val="0"/>
          <w:noProof/>
          <w:color w:val="auto"/>
          <w:lang w:val="en-AU" w:eastAsia="en-AU"/>
        </w:rPr>
      </w:pPr>
      <w:hyperlink w:anchor="_Toc240960027" w:history="1">
        <w:r w:rsidRPr="00302273">
          <w:rPr>
            <w:rStyle w:val="Hyperlink"/>
            <w:noProof/>
          </w:rPr>
          <w:t>Contents</w:t>
        </w:r>
        <w:r>
          <w:rPr>
            <w:noProof/>
            <w:webHidden/>
          </w:rPr>
          <w:tab/>
        </w:r>
        <w:r>
          <w:rPr>
            <w:noProof/>
            <w:webHidden/>
          </w:rPr>
          <w:fldChar w:fldCharType="begin"/>
        </w:r>
        <w:r>
          <w:rPr>
            <w:noProof/>
            <w:webHidden/>
          </w:rPr>
          <w:instrText xml:space="preserve"> PAGEREF _Toc240960027 \h </w:instrText>
        </w:r>
        <w:r>
          <w:rPr>
            <w:noProof/>
            <w:webHidden/>
          </w:rPr>
        </w:r>
        <w:r>
          <w:rPr>
            <w:noProof/>
            <w:webHidden/>
          </w:rPr>
          <w:fldChar w:fldCharType="separate"/>
        </w:r>
        <w:r w:rsidR="00212FC9">
          <w:rPr>
            <w:noProof/>
            <w:webHidden/>
          </w:rPr>
          <w:t>7</w:t>
        </w:r>
        <w:r>
          <w:rPr>
            <w:noProof/>
            <w:webHidden/>
          </w:rPr>
          <w:fldChar w:fldCharType="end"/>
        </w:r>
      </w:hyperlink>
    </w:p>
    <w:p w14:paraId="6AAF8A12" w14:textId="0E94DC58" w:rsidR="009135B9" w:rsidRDefault="009135B9">
      <w:pPr>
        <w:pStyle w:val="TOC1"/>
        <w:rPr>
          <w:rFonts w:asciiTheme="minorHAnsi" w:eastAsiaTheme="minorEastAsia" w:hAnsiTheme="minorHAnsi"/>
          <w:b w:val="0"/>
          <w:noProof/>
          <w:color w:val="auto"/>
          <w:lang w:val="en-AU" w:eastAsia="en-AU"/>
        </w:rPr>
      </w:pPr>
      <w:hyperlink w:anchor="_Toc240960028" w:history="1">
        <w:r w:rsidRPr="00302273">
          <w:rPr>
            <w:rStyle w:val="Hyperlink"/>
            <w:rFonts w:ascii="Arial" w:hAnsi="Arial" w:cs="Arial"/>
            <w:noProof/>
          </w:rPr>
          <w:t>1. Introduction</w:t>
        </w:r>
        <w:r>
          <w:rPr>
            <w:noProof/>
            <w:webHidden/>
          </w:rPr>
          <w:tab/>
        </w:r>
        <w:r>
          <w:rPr>
            <w:noProof/>
            <w:webHidden/>
          </w:rPr>
          <w:fldChar w:fldCharType="begin"/>
        </w:r>
        <w:r>
          <w:rPr>
            <w:noProof/>
            <w:webHidden/>
          </w:rPr>
          <w:instrText xml:space="preserve"> PAGEREF _Toc240960028 \h </w:instrText>
        </w:r>
        <w:r>
          <w:rPr>
            <w:noProof/>
            <w:webHidden/>
          </w:rPr>
        </w:r>
        <w:r>
          <w:rPr>
            <w:noProof/>
            <w:webHidden/>
          </w:rPr>
          <w:fldChar w:fldCharType="separate"/>
        </w:r>
        <w:r w:rsidR="00212FC9">
          <w:rPr>
            <w:noProof/>
            <w:webHidden/>
          </w:rPr>
          <w:t>8</w:t>
        </w:r>
        <w:r>
          <w:rPr>
            <w:noProof/>
            <w:webHidden/>
          </w:rPr>
          <w:fldChar w:fldCharType="end"/>
        </w:r>
      </w:hyperlink>
    </w:p>
    <w:p w14:paraId="6B50B352" w14:textId="1667F611" w:rsidR="009135B9" w:rsidRDefault="009135B9">
      <w:pPr>
        <w:pStyle w:val="TOC1"/>
        <w:rPr>
          <w:rFonts w:asciiTheme="minorHAnsi" w:eastAsiaTheme="minorEastAsia" w:hAnsiTheme="minorHAnsi"/>
          <w:b w:val="0"/>
          <w:noProof/>
          <w:color w:val="auto"/>
          <w:lang w:val="en-AU" w:eastAsia="en-AU"/>
        </w:rPr>
      </w:pPr>
      <w:hyperlink w:anchor="_Toc240960029" w:history="1">
        <w:r w:rsidRPr="00302273">
          <w:rPr>
            <w:rStyle w:val="Hyperlink"/>
            <w:rFonts w:ascii="Arial" w:hAnsi="Arial" w:cs="Arial"/>
            <w:noProof/>
          </w:rPr>
          <w:t>2. Rationale</w:t>
        </w:r>
        <w:r>
          <w:rPr>
            <w:noProof/>
            <w:webHidden/>
          </w:rPr>
          <w:tab/>
        </w:r>
        <w:r>
          <w:rPr>
            <w:noProof/>
            <w:webHidden/>
          </w:rPr>
          <w:fldChar w:fldCharType="begin"/>
        </w:r>
        <w:r>
          <w:rPr>
            <w:noProof/>
            <w:webHidden/>
          </w:rPr>
          <w:instrText xml:space="preserve"> PAGEREF _Toc240960029 \h </w:instrText>
        </w:r>
        <w:r>
          <w:rPr>
            <w:noProof/>
            <w:webHidden/>
          </w:rPr>
        </w:r>
        <w:r>
          <w:rPr>
            <w:noProof/>
            <w:webHidden/>
          </w:rPr>
          <w:fldChar w:fldCharType="separate"/>
        </w:r>
        <w:r w:rsidR="00212FC9">
          <w:rPr>
            <w:noProof/>
            <w:webHidden/>
          </w:rPr>
          <w:t>9</w:t>
        </w:r>
        <w:r>
          <w:rPr>
            <w:noProof/>
            <w:webHidden/>
          </w:rPr>
          <w:fldChar w:fldCharType="end"/>
        </w:r>
      </w:hyperlink>
    </w:p>
    <w:p w14:paraId="11FC4861" w14:textId="58FC5E89" w:rsidR="009135B9" w:rsidRDefault="009135B9">
      <w:pPr>
        <w:pStyle w:val="TOC1"/>
        <w:rPr>
          <w:rFonts w:asciiTheme="minorHAnsi" w:eastAsiaTheme="minorEastAsia" w:hAnsiTheme="minorHAnsi"/>
          <w:b w:val="0"/>
          <w:noProof/>
          <w:color w:val="auto"/>
          <w:lang w:val="en-AU" w:eastAsia="en-AU"/>
        </w:rPr>
      </w:pPr>
      <w:hyperlink w:anchor="_Toc240960030" w:history="1">
        <w:r w:rsidRPr="00302273">
          <w:rPr>
            <w:rStyle w:val="Hyperlink"/>
            <w:rFonts w:ascii="Arial" w:hAnsi="Arial" w:cs="Arial"/>
            <w:noProof/>
          </w:rPr>
          <w:t>3. Operating context</w:t>
        </w:r>
        <w:r>
          <w:rPr>
            <w:noProof/>
            <w:webHidden/>
          </w:rPr>
          <w:tab/>
        </w:r>
        <w:r>
          <w:rPr>
            <w:noProof/>
            <w:webHidden/>
          </w:rPr>
          <w:fldChar w:fldCharType="begin"/>
        </w:r>
        <w:r>
          <w:rPr>
            <w:noProof/>
            <w:webHidden/>
          </w:rPr>
          <w:instrText xml:space="preserve"> PAGEREF _Toc240960030 \h </w:instrText>
        </w:r>
        <w:r>
          <w:rPr>
            <w:noProof/>
            <w:webHidden/>
          </w:rPr>
        </w:r>
        <w:r>
          <w:rPr>
            <w:noProof/>
            <w:webHidden/>
          </w:rPr>
          <w:fldChar w:fldCharType="separate"/>
        </w:r>
        <w:r w:rsidR="00212FC9">
          <w:rPr>
            <w:noProof/>
            <w:webHidden/>
          </w:rPr>
          <w:t>10</w:t>
        </w:r>
        <w:r>
          <w:rPr>
            <w:noProof/>
            <w:webHidden/>
          </w:rPr>
          <w:fldChar w:fldCharType="end"/>
        </w:r>
      </w:hyperlink>
    </w:p>
    <w:p w14:paraId="167160D2" w14:textId="317592A5" w:rsidR="009135B9" w:rsidRDefault="009135B9">
      <w:pPr>
        <w:pStyle w:val="TOC1"/>
        <w:rPr>
          <w:rFonts w:asciiTheme="minorHAnsi" w:eastAsiaTheme="minorEastAsia" w:hAnsiTheme="minorHAnsi"/>
          <w:b w:val="0"/>
          <w:noProof/>
          <w:color w:val="auto"/>
          <w:lang w:val="en-AU" w:eastAsia="en-AU"/>
        </w:rPr>
      </w:pPr>
      <w:hyperlink w:anchor="_Toc240960031" w:history="1">
        <w:r w:rsidRPr="00302273">
          <w:rPr>
            <w:rStyle w:val="Hyperlink"/>
            <w:rFonts w:ascii="Arial" w:eastAsiaTheme="majorEastAsia" w:hAnsi="Arial" w:cs="Arial"/>
            <w:noProof/>
          </w:rPr>
          <w:t>4. How the Framework operates</w:t>
        </w:r>
        <w:r>
          <w:rPr>
            <w:noProof/>
            <w:webHidden/>
          </w:rPr>
          <w:tab/>
        </w:r>
        <w:r>
          <w:rPr>
            <w:noProof/>
            <w:webHidden/>
          </w:rPr>
          <w:fldChar w:fldCharType="begin"/>
        </w:r>
        <w:r>
          <w:rPr>
            <w:noProof/>
            <w:webHidden/>
          </w:rPr>
          <w:instrText xml:space="preserve"> PAGEREF _Toc240960031 \h </w:instrText>
        </w:r>
        <w:r>
          <w:rPr>
            <w:noProof/>
            <w:webHidden/>
          </w:rPr>
        </w:r>
        <w:r>
          <w:rPr>
            <w:noProof/>
            <w:webHidden/>
          </w:rPr>
          <w:fldChar w:fldCharType="separate"/>
        </w:r>
        <w:r w:rsidR="00212FC9">
          <w:rPr>
            <w:noProof/>
            <w:webHidden/>
          </w:rPr>
          <w:t>14</w:t>
        </w:r>
        <w:r>
          <w:rPr>
            <w:noProof/>
            <w:webHidden/>
          </w:rPr>
          <w:fldChar w:fldCharType="end"/>
        </w:r>
      </w:hyperlink>
    </w:p>
    <w:p w14:paraId="169C18E1" w14:textId="0C4B74E6" w:rsidR="009135B9" w:rsidRDefault="009135B9">
      <w:pPr>
        <w:pStyle w:val="TOC1"/>
        <w:rPr>
          <w:rFonts w:asciiTheme="minorHAnsi" w:eastAsiaTheme="minorEastAsia" w:hAnsiTheme="minorHAnsi"/>
          <w:b w:val="0"/>
          <w:noProof/>
          <w:color w:val="auto"/>
          <w:lang w:val="en-AU" w:eastAsia="en-AU"/>
        </w:rPr>
      </w:pPr>
      <w:hyperlink w:anchor="_Toc240960032" w:history="1">
        <w:r w:rsidRPr="00302273">
          <w:rPr>
            <w:rStyle w:val="Hyperlink"/>
            <w:rFonts w:ascii="Arial" w:hAnsi="Arial" w:cs="Arial"/>
            <w:noProof/>
          </w:rPr>
          <w:t>5. Foundational principles for AI Governance in ACCHOs</w:t>
        </w:r>
        <w:r>
          <w:rPr>
            <w:noProof/>
            <w:webHidden/>
          </w:rPr>
          <w:tab/>
        </w:r>
        <w:r>
          <w:rPr>
            <w:noProof/>
            <w:webHidden/>
          </w:rPr>
          <w:fldChar w:fldCharType="begin"/>
        </w:r>
        <w:r>
          <w:rPr>
            <w:noProof/>
            <w:webHidden/>
          </w:rPr>
          <w:instrText xml:space="preserve"> PAGEREF _Toc240960032 \h </w:instrText>
        </w:r>
        <w:r>
          <w:rPr>
            <w:noProof/>
            <w:webHidden/>
          </w:rPr>
        </w:r>
        <w:r>
          <w:rPr>
            <w:noProof/>
            <w:webHidden/>
          </w:rPr>
          <w:fldChar w:fldCharType="separate"/>
        </w:r>
        <w:r w:rsidR="00212FC9">
          <w:rPr>
            <w:noProof/>
            <w:webHidden/>
          </w:rPr>
          <w:t>16</w:t>
        </w:r>
        <w:r>
          <w:rPr>
            <w:noProof/>
            <w:webHidden/>
          </w:rPr>
          <w:fldChar w:fldCharType="end"/>
        </w:r>
      </w:hyperlink>
    </w:p>
    <w:p w14:paraId="7D73393D" w14:textId="74C03F6B" w:rsidR="009135B9" w:rsidRDefault="009135B9">
      <w:pPr>
        <w:pStyle w:val="TOC1"/>
        <w:rPr>
          <w:rFonts w:asciiTheme="minorHAnsi" w:eastAsiaTheme="minorEastAsia" w:hAnsiTheme="minorHAnsi"/>
          <w:b w:val="0"/>
          <w:noProof/>
          <w:color w:val="auto"/>
          <w:lang w:val="en-AU" w:eastAsia="en-AU"/>
        </w:rPr>
      </w:pPr>
      <w:hyperlink w:anchor="_Toc240960033" w:history="1">
        <w:r w:rsidRPr="00302273">
          <w:rPr>
            <w:rStyle w:val="Hyperlink"/>
            <w:rFonts w:ascii="Arial" w:hAnsi="Arial" w:cs="Arial"/>
            <w:noProof/>
          </w:rPr>
          <w:t>6. Framework domains</w:t>
        </w:r>
        <w:r>
          <w:rPr>
            <w:noProof/>
            <w:webHidden/>
          </w:rPr>
          <w:tab/>
        </w:r>
        <w:r>
          <w:rPr>
            <w:noProof/>
            <w:webHidden/>
          </w:rPr>
          <w:fldChar w:fldCharType="begin"/>
        </w:r>
        <w:r>
          <w:rPr>
            <w:noProof/>
            <w:webHidden/>
          </w:rPr>
          <w:instrText xml:space="preserve"> PAGEREF _Toc240960033 \h </w:instrText>
        </w:r>
        <w:r>
          <w:rPr>
            <w:noProof/>
            <w:webHidden/>
          </w:rPr>
        </w:r>
        <w:r>
          <w:rPr>
            <w:noProof/>
            <w:webHidden/>
          </w:rPr>
          <w:fldChar w:fldCharType="separate"/>
        </w:r>
        <w:r w:rsidR="00212FC9">
          <w:rPr>
            <w:noProof/>
            <w:webHidden/>
          </w:rPr>
          <w:t>17</w:t>
        </w:r>
        <w:r>
          <w:rPr>
            <w:noProof/>
            <w:webHidden/>
          </w:rPr>
          <w:fldChar w:fldCharType="end"/>
        </w:r>
      </w:hyperlink>
    </w:p>
    <w:p w14:paraId="4867E0A1" w14:textId="3B682047" w:rsidR="009135B9" w:rsidRDefault="009135B9">
      <w:pPr>
        <w:pStyle w:val="TOC1"/>
        <w:rPr>
          <w:rFonts w:asciiTheme="minorHAnsi" w:eastAsiaTheme="minorEastAsia" w:hAnsiTheme="minorHAnsi"/>
          <w:b w:val="0"/>
          <w:noProof/>
          <w:color w:val="auto"/>
          <w:lang w:val="en-AU" w:eastAsia="en-AU"/>
        </w:rPr>
      </w:pPr>
      <w:hyperlink w:anchor="_Toc240960034" w:history="1">
        <w:r w:rsidRPr="00302273">
          <w:rPr>
            <w:rStyle w:val="Hyperlink"/>
            <w:rFonts w:ascii="Arial" w:hAnsi="Arial" w:cs="Arial"/>
            <w:noProof/>
          </w:rPr>
          <w:t>Appendix 1 – Risk matrices</w:t>
        </w:r>
        <w:r>
          <w:rPr>
            <w:noProof/>
            <w:webHidden/>
          </w:rPr>
          <w:tab/>
        </w:r>
        <w:r>
          <w:rPr>
            <w:noProof/>
            <w:webHidden/>
          </w:rPr>
          <w:fldChar w:fldCharType="begin"/>
        </w:r>
        <w:r>
          <w:rPr>
            <w:noProof/>
            <w:webHidden/>
          </w:rPr>
          <w:instrText xml:space="preserve"> PAGEREF _Toc240960034 \h </w:instrText>
        </w:r>
        <w:r>
          <w:rPr>
            <w:noProof/>
            <w:webHidden/>
          </w:rPr>
        </w:r>
        <w:r>
          <w:rPr>
            <w:noProof/>
            <w:webHidden/>
          </w:rPr>
          <w:fldChar w:fldCharType="separate"/>
        </w:r>
        <w:r w:rsidR="00212FC9">
          <w:rPr>
            <w:noProof/>
            <w:webHidden/>
          </w:rPr>
          <w:t>27</w:t>
        </w:r>
        <w:r>
          <w:rPr>
            <w:noProof/>
            <w:webHidden/>
          </w:rPr>
          <w:fldChar w:fldCharType="end"/>
        </w:r>
      </w:hyperlink>
    </w:p>
    <w:p w14:paraId="542169E9" w14:textId="5C5F51F5" w:rsidR="009135B9" w:rsidRDefault="009135B9">
      <w:pPr>
        <w:pStyle w:val="TOC1"/>
        <w:rPr>
          <w:rFonts w:asciiTheme="minorHAnsi" w:eastAsiaTheme="minorEastAsia" w:hAnsiTheme="minorHAnsi"/>
          <w:b w:val="0"/>
          <w:noProof/>
          <w:color w:val="auto"/>
          <w:lang w:val="en-AU" w:eastAsia="en-AU"/>
        </w:rPr>
      </w:pPr>
      <w:hyperlink w:anchor="_Toc240960035" w:history="1">
        <w:r w:rsidRPr="00302273">
          <w:rPr>
            <w:rStyle w:val="Hyperlink"/>
            <w:rFonts w:ascii="Arial" w:hAnsi="Arial" w:cs="Arial"/>
            <w:noProof/>
          </w:rPr>
          <w:t>Glossary of terms</w:t>
        </w:r>
        <w:r>
          <w:rPr>
            <w:noProof/>
            <w:webHidden/>
          </w:rPr>
          <w:tab/>
        </w:r>
        <w:r>
          <w:rPr>
            <w:noProof/>
            <w:webHidden/>
          </w:rPr>
          <w:fldChar w:fldCharType="begin"/>
        </w:r>
        <w:r>
          <w:rPr>
            <w:noProof/>
            <w:webHidden/>
          </w:rPr>
          <w:instrText xml:space="preserve"> PAGEREF _Toc240960035 \h </w:instrText>
        </w:r>
        <w:r>
          <w:rPr>
            <w:noProof/>
            <w:webHidden/>
          </w:rPr>
        </w:r>
        <w:r>
          <w:rPr>
            <w:noProof/>
            <w:webHidden/>
          </w:rPr>
          <w:fldChar w:fldCharType="separate"/>
        </w:r>
        <w:r w:rsidR="00212FC9">
          <w:rPr>
            <w:noProof/>
            <w:webHidden/>
          </w:rPr>
          <w:t>29</w:t>
        </w:r>
        <w:r>
          <w:rPr>
            <w:noProof/>
            <w:webHidden/>
          </w:rPr>
          <w:fldChar w:fldCharType="end"/>
        </w:r>
      </w:hyperlink>
    </w:p>
    <w:p w14:paraId="20E8FF4A" w14:textId="531E4DFF" w:rsidR="009135B9" w:rsidRDefault="009135B9">
      <w:pPr>
        <w:pStyle w:val="TOC1"/>
        <w:rPr>
          <w:rFonts w:asciiTheme="minorHAnsi" w:eastAsiaTheme="minorEastAsia" w:hAnsiTheme="minorHAnsi"/>
          <w:b w:val="0"/>
          <w:noProof/>
          <w:color w:val="auto"/>
          <w:lang w:val="en-AU" w:eastAsia="en-AU"/>
        </w:rPr>
      </w:pPr>
      <w:hyperlink w:anchor="_Toc240960036" w:history="1">
        <w:r w:rsidRPr="00302273">
          <w:rPr>
            <w:rStyle w:val="Hyperlink"/>
            <w:rFonts w:ascii="Arial" w:hAnsi="Arial" w:cs="Arial"/>
            <w:noProof/>
          </w:rPr>
          <w:t>References</w:t>
        </w:r>
        <w:r>
          <w:rPr>
            <w:noProof/>
            <w:webHidden/>
          </w:rPr>
          <w:tab/>
        </w:r>
        <w:r>
          <w:rPr>
            <w:noProof/>
            <w:webHidden/>
          </w:rPr>
          <w:fldChar w:fldCharType="begin"/>
        </w:r>
        <w:r>
          <w:rPr>
            <w:noProof/>
            <w:webHidden/>
          </w:rPr>
          <w:instrText xml:space="preserve"> PAGEREF _Toc240960036 \h </w:instrText>
        </w:r>
        <w:r>
          <w:rPr>
            <w:noProof/>
            <w:webHidden/>
          </w:rPr>
        </w:r>
        <w:r>
          <w:rPr>
            <w:noProof/>
            <w:webHidden/>
          </w:rPr>
          <w:fldChar w:fldCharType="separate"/>
        </w:r>
        <w:r w:rsidR="00212FC9">
          <w:rPr>
            <w:noProof/>
            <w:webHidden/>
          </w:rPr>
          <w:t>30</w:t>
        </w:r>
        <w:r>
          <w:rPr>
            <w:noProof/>
            <w:webHidden/>
          </w:rPr>
          <w:fldChar w:fldCharType="end"/>
        </w:r>
      </w:hyperlink>
    </w:p>
    <w:p w14:paraId="25968616" w14:textId="20F89021" w:rsidR="009135B9" w:rsidRDefault="009135B9">
      <w:pPr>
        <w:pStyle w:val="TOC1"/>
        <w:rPr>
          <w:rFonts w:asciiTheme="minorHAnsi" w:eastAsiaTheme="minorEastAsia" w:hAnsiTheme="minorHAnsi"/>
          <w:b w:val="0"/>
          <w:noProof/>
          <w:color w:val="auto"/>
          <w:lang w:val="en-AU" w:eastAsia="en-AU"/>
        </w:rPr>
      </w:pPr>
      <w:hyperlink w:anchor="_Toc240960037" w:history="1">
        <w:r w:rsidRPr="00302273">
          <w:rPr>
            <w:rStyle w:val="Hyperlink"/>
            <w:noProof/>
          </w:rPr>
          <w:t>Acceptable Use of Artificial Intelligence (AI) Policy Template</w:t>
        </w:r>
        <w:r>
          <w:rPr>
            <w:noProof/>
            <w:webHidden/>
          </w:rPr>
          <w:tab/>
        </w:r>
        <w:r>
          <w:rPr>
            <w:noProof/>
            <w:webHidden/>
          </w:rPr>
          <w:fldChar w:fldCharType="begin"/>
        </w:r>
        <w:r>
          <w:rPr>
            <w:noProof/>
            <w:webHidden/>
          </w:rPr>
          <w:instrText xml:space="preserve"> PAGEREF _Toc240960037 \h </w:instrText>
        </w:r>
        <w:r>
          <w:rPr>
            <w:noProof/>
            <w:webHidden/>
          </w:rPr>
        </w:r>
        <w:r>
          <w:rPr>
            <w:noProof/>
            <w:webHidden/>
          </w:rPr>
          <w:fldChar w:fldCharType="separate"/>
        </w:r>
        <w:r w:rsidR="00212FC9">
          <w:rPr>
            <w:noProof/>
            <w:webHidden/>
          </w:rPr>
          <w:t>1</w:t>
        </w:r>
        <w:r>
          <w:rPr>
            <w:noProof/>
            <w:webHidden/>
          </w:rPr>
          <w:fldChar w:fldCharType="end"/>
        </w:r>
      </w:hyperlink>
    </w:p>
    <w:p w14:paraId="1AA2C96B" w14:textId="3620D110" w:rsidR="009135B9" w:rsidRDefault="009135B9">
      <w:pPr>
        <w:pStyle w:val="TOC1"/>
        <w:rPr>
          <w:rFonts w:asciiTheme="minorHAnsi" w:eastAsiaTheme="minorEastAsia" w:hAnsiTheme="minorHAnsi"/>
          <w:b w:val="0"/>
          <w:noProof/>
          <w:color w:val="auto"/>
          <w:lang w:val="en-AU" w:eastAsia="en-AU"/>
        </w:rPr>
      </w:pPr>
      <w:hyperlink w:anchor="_Toc240960038" w:history="1">
        <w:r w:rsidRPr="00302273">
          <w:rPr>
            <w:rStyle w:val="Hyperlink"/>
            <w:noProof/>
          </w:rPr>
          <w:t>Template: Acceptable Use of Artificial Intelligence (AI) Policy</w:t>
        </w:r>
        <w:r>
          <w:rPr>
            <w:noProof/>
            <w:webHidden/>
          </w:rPr>
          <w:tab/>
        </w:r>
        <w:r>
          <w:rPr>
            <w:noProof/>
            <w:webHidden/>
          </w:rPr>
          <w:fldChar w:fldCharType="begin"/>
        </w:r>
        <w:r>
          <w:rPr>
            <w:noProof/>
            <w:webHidden/>
          </w:rPr>
          <w:instrText xml:space="preserve"> PAGEREF _Toc240960038 \h </w:instrText>
        </w:r>
        <w:r>
          <w:rPr>
            <w:noProof/>
            <w:webHidden/>
          </w:rPr>
        </w:r>
        <w:r>
          <w:rPr>
            <w:noProof/>
            <w:webHidden/>
          </w:rPr>
          <w:fldChar w:fldCharType="separate"/>
        </w:r>
        <w:r w:rsidR="00212FC9">
          <w:rPr>
            <w:noProof/>
            <w:webHidden/>
          </w:rPr>
          <w:t>2</w:t>
        </w:r>
        <w:r>
          <w:rPr>
            <w:noProof/>
            <w:webHidden/>
          </w:rPr>
          <w:fldChar w:fldCharType="end"/>
        </w:r>
      </w:hyperlink>
    </w:p>
    <w:p w14:paraId="7215D606" w14:textId="2A847415" w:rsidR="009135B9" w:rsidRDefault="009135B9">
      <w:pPr>
        <w:pStyle w:val="TOC1"/>
        <w:rPr>
          <w:rFonts w:asciiTheme="minorHAnsi" w:eastAsiaTheme="minorEastAsia" w:hAnsiTheme="minorHAnsi"/>
          <w:b w:val="0"/>
          <w:noProof/>
          <w:color w:val="auto"/>
          <w:lang w:val="en-AU" w:eastAsia="en-AU"/>
        </w:rPr>
      </w:pPr>
      <w:hyperlink w:anchor="_Toc240960039" w:history="1">
        <w:r w:rsidRPr="00302273">
          <w:rPr>
            <w:rStyle w:val="Hyperlink"/>
            <w:noProof/>
          </w:rPr>
          <w:t>Appendix A: Pre-use checklist</w:t>
        </w:r>
        <w:r>
          <w:rPr>
            <w:noProof/>
            <w:webHidden/>
          </w:rPr>
          <w:tab/>
        </w:r>
        <w:r>
          <w:rPr>
            <w:noProof/>
            <w:webHidden/>
          </w:rPr>
          <w:fldChar w:fldCharType="begin"/>
        </w:r>
        <w:r>
          <w:rPr>
            <w:noProof/>
            <w:webHidden/>
          </w:rPr>
          <w:instrText xml:space="preserve"> PAGEREF _Toc240960039 \h </w:instrText>
        </w:r>
        <w:r>
          <w:rPr>
            <w:noProof/>
            <w:webHidden/>
          </w:rPr>
        </w:r>
        <w:r>
          <w:rPr>
            <w:noProof/>
            <w:webHidden/>
          </w:rPr>
          <w:fldChar w:fldCharType="separate"/>
        </w:r>
        <w:r w:rsidR="00212FC9">
          <w:rPr>
            <w:noProof/>
            <w:webHidden/>
          </w:rPr>
          <w:t>12</w:t>
        </w:r>
        <w:r>
          <w:rPr>
            <w:noProof/>
            <w:webHidden/>
          </w:rPr>
          <w:fldChar w:fldCharType="end"/>
        </w:r>
      </w:hyperlink>
    </w:p>
    <w:p w14:paraId="3EEEC7C9" w14:textId="63E3ABCE" w:rsidR="003544D8" w:rsidRPr="003544D8" w:rsidRDefault="00F01F75" w:rsidP="00F01F75">
      <w:pPr>
        <w:pStyle w:val="Heading1"/>
      </w:pPr>
      <w:r>
        <w:lastRenderedPageBreak/>
        <w:fldChar w:fldCharType="end"/>
      </w:r>
      <w:bookmarkStart w:id="45" w:name="_Toc240960025"/>
      <w:r w:rsidR="003544D8" w:rsidRPr="003544D8">
        <w:t>About this toolkit</w:t>
      </w:r>
      <w:bookmarkEnd w:id="36"/>
      <w:bookmarkEnd w:id="37"/>
      <w:bookmarkEnd w:id="38"/>
      <w:bookmarkEnd w:id="39"/>
      <w:bookmarkEnd w:id="40"/>
      <w:bookmarkEnd w:id="41"/>
      <w:bookmarkEnd w:id="42"/>
      <w:bookmarkEnd w:id="43"/>
      <w:bookmarkEnd w:id="44"/>
      <w:bookmarkEnd w:id="45"/>
    </w:p>
    <w:p w14:paraId="69733E76" w14:textId="77777777" w:rsidR="003544D8" w:rsidRPr="003544D8" w:rsidRDefault="003544D8" w:rsidP="003544D8">
      <w:pPr>
        <w:pStyle w:val="Heading2"/>
      </w:pPr>
      <w:bookmarkStart w:id="46" w:name="_Toc238465087"/>
      <w:bookmarkStart w:id="47" w:name="_Toc238564196"/>
      <w:bookmarkStart w:id="48" w:name="_Toc239257354"/>
      <w:bookmarkStart w:id="49" w:name="_Toc239257404"/>
      <w:bookmarkStart w:id="50" w:name="_Toc239257505"/>
      <w:bookmarkStart w:id="51" w:name="_Toc240894349"/>
      <w:bookmarkStart w:id="52" w:name="_Toc240894565"/>
      <w:bookmarkStart w:id="53" w:name="_Toc240897408"/>
      <w:bookmarkStart w:id="54" w:name="_Toc240897561"/>
      <w:bookmarkStart w:id="55" w:name="_Toc240956372"/>
      <w:r w:rsidRPr="003544D8">
        <w:t>Purpose of the AI Governance Toolkit</w:t>
      </w:r>
      <w:bookmarkEnd w:id="46"/>
      <w:bookmarkEnd w:id="47"/>
      <w:bookmarkEnd w:id="48"/>
      <w:bookmarkEnd w:id="49"/>
      <w:bookmarkEnd w:id="50"/>
      <w:bookmarkEnd w:id="51"/>
      <w:bookmarkEnd w:id="52"/>
      <w:bookmarkEnd w:id="53"/>
      <w:bookmarkEnd w:id="54"/>
      <w:bookmarkEnd w:id="55"/>
      <w:r w:rsidRPr="003544D8">
        <w:t xml:space="preserve"> </w:t>
      </w:r>
    </w:p>
    <w:p w14:paraId="053029E9" w14:textId="77777777" w:rsidR="003544D8" w:rsidRPr="003544D8" w:rsidRDefault="003544D8" w:rsidP="00F0219B">
      <w:pPr>
        <w:pStyle w:val="NACCHOtext"/>
      </w:pPr>
      <w:r w:rsidRPr="003544D8">
        <w:t xml:space="preserve">The purpose of this toolkit is to support Aboriginal Community Controlled Health Organisations (ACCHOs) to make informed, safe and self-determined decisions about the use of artificial intelligence (AI). AI is already being introduced across health systems in administrative, operational and clinical settings. When used well with appropriate governance, AI has the potential to strengthen health service delivery by reducing avoidable administrative workload and supporting more efficient clinical documentation. The Productivity Commission’s report on </w:t>
      </w:r>
      <w:hyperlink r:id="rId15" w:history="1">
        <w:r w:rsidRPr="003544D8">
          <w:rPr>
            <w:rStyle w:val="Hyperlink"/>
          </w:rPr>
          <w:t>‘Leveraging digital technology in healthcare</w:t>
        </w:r>
      </w:hyperlink>
      <w:r w:rsidRPr="003544D8">
        <w:t xml:space="preserve">’ highlighted a range of benefits including the automation of low-complexity tasks by AI which could free up to 30% of clinicians’ time (up to 11 hours each week per health worker) which could then be spent caring for patients. </w:t>
      </w:r>
    </w:p>
    <w:p w14:paraId="23C4787C" w14:textId="77777777" w:rsidR="003544D8" w:rsidRPr="003544D8" w:rsidRDefault="003544D8" w:rsidP="00F0219B">
      <w:pPr>
        <w:pStyle w:val="NACCHOtext"/>
      </w:pPr>
      <w:r w:rsidRPr="003544D8">
        <w:t>To equitably support patient care, AI must be implemented with clear accountability, human oversight, and ongoing monitoring for safety and unintended impacts. Safe and effective implementation depends on Aboriginal and Torres Strait Islander leadership, culturally informed decision-making, and a workforce that is supported to question, shape and govern the use of AI in ways that reflect local priorities and community expectations. Every proposed use of AI should be able to clearly answer: How does this improve outcomes for Aboriginal and Torres Strait Islander people?</w:t>
      </w:r>
    </w:p>
    <w:p w14:paraId="434EE04C" w14:textId="77777777" w:rsidR="003544D8" w:rsidRPr="003544D8" w:rsidRDefault="003544D8" w:rsidP="00F0219B">
      <w:pPr>
        <w:pStyle w:val="NACCHOtext"/>
      </w:pPr>
      <w:r w:rsidRPr="003544D8">
        <w:t xml:space="preserve">To support the practical governance arrangements that allow organisations to explore AI opportunities, NACCHO has commissioned a suite of resources which were developed by the </w:t>
      </w:r>
      <w:hyperlink r:id="rId16" w:history="1">
        <w:r w:rsidRPr="003544D8">
          <w:rPr>
            <w:rStyle w:val="Hyperlink"/>
          </w:rPr>
          <w:t>Digital Health Standards Council of Australasia</w:t>
        </w:r>
      </w:hyperlink>
      <w:r w:rsidRPr="003544D8">
        <w:t xml:space="preserve"> in consultation with the NACCHO Clinical Leaders Advisory Group and the sector. These resources include:</w:t>
      </w:r>
    </w:p>
    <w:p w14:paraId="43FFA6BD" w14:textId="77777777" w:rsidR="003544D8" w:rsidRPr="003544D8" w:rsidRDefault="003544D8" w:rsidP="003544D8">
      <w:pPr>
        <w:numPr>
          <w:ilvl w:val="0"/>
          <w:numId w:val="3"/>
        </w:numPr>
        <w:rPr>
          <w:lang w:val="en-AU"/>
        </w:rPr>
      </w:pPr>
      <w:r w:rsidRPr="003544D8">
        <w:rPr>
          <w:b/>
          <w:bCs/>
          <w:lang w:val="en-AU"/>
        </w:rPr>
        <w:t>AI Governance Framework</w:t>
      </w:r>
      <w:r w:rsidRPr="003544D8">
        <w:rPr>
          <w:lang w:val="en-AU"/>
        </w:rPr>
        <w:t xml:space="preserve"> — to help Organisations understand the domains, principles and governance expectations that should guide AI use. </w:t>
      </w:r>
    </w:p>
    <w:p w14:paraId="41AC866A" w14:textId="77777777" w:rsidR="003544D8" w:rsidRPr="003544D8" w:rsidRDefault="003544D8" w:rsidP="003544D8">
      <w:pPr>
        <w:numPr>
          <w:ilvl w:val="0"/>
          <w:numId w:val="3"/>
        </w:numPr>
        <w:rPr>
          <w:lang w:val="en-AU"/>
        </w:rPr>
      </w:pPr>
      <w:r w:rsidRPr="003544D8">
        <w:rPr>
          <w:b/>
          <w:bCs/>
          <w:lang w:val="en-AU"/>
        </w:rPr>
        <w:t>AI Policy Template</w:t>
      </w:r>
      <w:r w:rsidRPr="003544D8">
        <w:rPr>
          <w:lang w:val="en-AU"/>
        </w:rPr>
        <w:t xml:space="preserve"> — to support Organisations to develop or adapt an internal policy that sets out responsibilities, approval pathways, acceptable use, safeguards and escalation processes.</w:t>
      </w:r>
    </w:p>
    <w:p w14:paraId="12AD5D9D" w14:textId="77777777" w:rsidR="003544D8" w:rsidRPr="003544D8" w:rsidRDefault="003544D8" w:rsidP="003544D8">
      <w:r w:rsidRPr="003544D8">
        <w:t xml:space="preserve">These resources are </w:t>
      </w:r>
      <w:r w:rsidRPr="003544D8">
        <w:rPr>
          <w:b/>
          <w:bCs/>
        </w:rPr>
        <w:t xml:space="preserve">optional </w:t>
      </w:r>
      <w:r w:rsidRPr="003544D8">
        <w:t>practical guides to support safe, proportionate and culturally governed AI decision-making. They are designed to be used alongside existing organisational policies and governance processes. They are also flexible, recognising that organisations will be at different stages of digital and AI maturity, with varying priorities, risks, digital capability and support needs. Each Organisation can elect to use the parts most relevant to its context, or not at all.</w:t>
      </w:r>
    </w:p>
    <w:p w14:paraId="1FECFFFE" w14:textId="77777777" w:rsidR="003544D8" w:rsidRPr="003544D8" w:rsidRDefault="003544D8" w:rsidP="003544D8">
      <w:pPr>
        <w:pStyle w:val="Heading2"/>
      </w:pPr>
      <w:bookmarkStart w:id="56" w:name="_Toc238465088"/>
      <w:bookmarkStart w:id="57" w:name="_Toc238564197"/>
      <w:bookmarkStart w:id="58" w:name="_Toc239257355"/>
      <w:bookmarkStart w:id="59" w:name="_Toc239257405"/>
      <w:bookmarkStart w:id="60" w:name="_Toc239257506"/>
      <w:bookmarkStart w:id="61" w:name="_Toc240894350"/>
      <w:bookmarkStart w:id="62" w:name="_Toc240894566"/>
      <w:bookmarkStart w:id="63" w:name="_Toc240897409"/>
      <w:bookmarkStart w:id="64" w:name="_Toc240897562"/>
      <w:bookmarkStart w:id="65" w:name="_Toc240956373"/>
      <w:r w:rsidRPr="003544D8">
        <w:t>Who this toolkit is for</w:t>
      </w:r>
      <w:bookmarkEnd w:id="56"/>
      <w:bookmarkEnd w:id="57"/>
      <w:bookmarkEnd w:id="58"/>
      <w:bookmarkEnd w:id="59"/>
      <w:bookmarkEnd w:id="60"/>
      <w:bookmarkEnd w:id="61"/>
      <w:bookmarkEnd w:id="62"/>
      <w:bookmarkEnd w:id="63"/>
      <w:bookmarkEnd w:id="64"/>
      <w:bookmarkEnd w:id="65"/>
    </w:p>
    <w:p w14:paraId="62257057" w14:textId="77777777" w:rsidR="003544D8" w:rsidRPr="003544D8" w:rsidRDefault="003544D8" w:rsidP="003544D8">
      <w:pPr>
        <w:rPr>
          <w:lang w:val="en-AU"/>
        </w:rPr>
      </w:pPr>
      <w:r w:rsidRPr="003544D8">
        <w:t xml:space="preserve">This toolkit is for ACCHOs considering, planning, implementing or reviewing the use of AI tools. </w:t>
      </w:r>
      <w:r w:rsidRPr="003544D8">
        <w:rPr>
          <w:lang w:val="en-AU"/>
        </w:rPr>
        <w:t>It is intended to support organisations at different stages of digital and AI readiness, from those beginning early conversations about AI through to those already assessing specific tools or vendor proposals.</w:t>
      </w:r>
    </w:p>
    <w:p w14:paraId="515394DE" w14:textId="77777777" w:rsidR="003544D8" w:rsidRPr="003544D8" w:rsidRDefault="003544D8" w:rsidP="003544D8">
      <w:pPr>
        <w:rPr>
          <w:lang w:val="en-AU"/>
        </w:rPr>
      </w:pPr>
      <w:r w:rsidRPr="003544D8">
        <w:rPr>
          <w:lang w:val="en-AU"/>
        </w:rPr>
        <w:t xml:space="preserve">The safe and effective use of AI depends not only on technical controls, but on the capability, confidence and leadership of the people and communities who shape its use. This requires a commitment to building Aboriginal and Torres Strait Islander digital workforce capability, supporting local AI champions, and strengthening community digital literacy so that AI is understood, questioned and used only where it adds value. </w:t>
      </w:r>
    </w:p>
    <w:p w14:paraId="0E82EBA2" w14:textId="77777777" w:rsidR="003544D8" w:rsidRPr="003544D8" w:rsidRDefault="003544D8" w:rsidP="003544D8">
      <w:pPr>
        <w:rPr>
          <w:lang w:val="en-AU"/>
        </w:rPr>
      </w:pPr>
      <w:r w:rsidRPr="003544D8">
        <w:rPr>
          <w:lang w:val="en-AU"/>
        </w:rPr>
        <w:t xml:space="preserve">Reflecting this, the toolkit is designed for both governance and practical use. It can support whole-of-organisation conversations about whether AI should be used, how decisions should be made, what safeguards are needed, and how staff and community can be supported to participate in those decisions. </w:t>
      </w:r>
    </w:p>
    <w:p w14:paraId="4F96574E" w14:textId="77777777" w:rsidR="003544D8" w:rsidRPr="003544D8" w:rsidRDefault="003544D8" w:rsidP="003544D8">
      <w:pPr>
        <w:rPr>
          <w:lang w:val="en-AU"/>
        </w:rPr>
      </w:pPr>
      <w:r w:rsidRPr="003544D8">
        <w:rPr>
          <w:lang w:val="en-AU"/>
        </w:rPr>
        <w:t>Different parts of the toolkit will therefore be useful to different roles across an ACCHO including:</w:t>
      </w:r>
    </w:p>
    <w:p w14:paraId="55A020AE" w14:textId="77777777" w:rsidR="003544D8" w:rsidRPr="003544D8" w:rsidRDefault="003544D8" w:rsidP="003544D8"/>
    <w:p w14:paraId="7B1288C7" w14:textId="77777777" w:rsidR="003544D8" w:rsidRPr="003544D8" w:rsidRDefault="003544D8" w:rsidP="006C72A6">
      <w:pPr>
        <w:pStyle w:val="Bullets1"/>
      </w:pPr>
      <w:r w:rsidRPr="003544D8">
        <w:t>Boards, CEOs and executives responsible for organisational governance, risk, strategy and accountability.</w:t>
      </w:r>
    </w:p>
    <w:p w14:paraId="111624C5" w14:textId="77777777" w:rsidR="003544D8" w:rsidRPr="003544D8" w:rsidRDefault="003544D8" w:rsidP="006C72A6">
      <w:pPr>
        <w:pStyle w:val="Bullets1"/>
      </w:pPr>
      <w:r w:rsidRPr="003544D8">
        <w:t>Clinicians and other health professionals involved in assessing and using AI to support safe, high-quality and culturally responsive clinical care.</w:t>
      </w:r>
    </w:p>
    <w:p w14:paraId="198D5164" w14:textId="77777777" w:rsidR="003544D8" w:rsidRPr="003544D8" w:rsidRDefault="003544D8" w:rsidP="006C72A6">
      <w:pPr>
        <w:pStyle w:val="Bullets1"/>
      </w:pPr>
      <w:r w:rsidRPr="003544D8">
        <w:t>Digital health, information management, privacy, cyber security and data governance staff responsible for the systems, safeguards and information flows that support AI use.</w:t>
      </w:r>
    </w:p>
    <w:p w14:paraId="55989CD9" w14:textId="77777777" w:rsidR="00A47F72" w:rsidRDefault="003544D8" w:rsidP="006C72A6">
      <w:pPr>
        <w:pStyle w:val="Bullets1"/>
      </w:pPr>
      <w:r w:rsidRPr="003544D8">
        <w:t>Corporate, finance, human resources and administrative teams considering AI tools for business processes, workforce support, reporting or service planning.</w:t>
      </w:r>
    </w:p>
    <w:p w14:paraId="0E647525" w14:textId="79232D95" w:rsidR="003544D8" w:rsidRPr="00A47F72" w:rsidRDefault="003544D8" w:rsidP="006C72A6">
      <w:pPr>
        <w:pStyle w:val="Bullets1"/>
      </w:pPr>
      <w:r w:rsidRPr="00A47F72">
        <w:t>Quality improvement, evaluation and population health teams using data to understand service needs, monitor outcomes and improve care.</w:t>
      </w:r>
    </w:p>
    <w:p w14:paraId="03AB72C6" w14:textId="77777777" w:rsidR="005C1248" w:rsidRPr="00FD3BA0" w:rsidRDefault="005C1248" w:rsidP="00BC39A0">
      <w:pPr>
        <w:pStyle w:val="StyleHeading148ptAccent5"/>
      </w:pPr>
      <w:bookmarkStart w:id="66" w:name="_Toc238564198"/>
      <w:bookmarkStart w:id="67" w:name="_Toc239257406"/>
      <w:bookmarkStart w:id="68" w:name="_Toc239257507"/>
      <w:bookmarkStart w:id="69" w:name="_Toc240897563"/>
      <w:bookmarkStart w:id="70" w:name="_Toc240956374"/>
      <w:bookmarkStart w:id="71" w:name="_Toc240960026"/>
      <w:r w:rsidRPr="00FD3BA0">
        <w:lastRenderedPageBreak/>
        <w:t>AI Governance Framework</w:t>
      </w:r>
      <w:bookmarkEnd w:id="66"/>
      <w:bookmarkEnd w:id="67"/>
      <w:bookmarkEnd w:id="68"/>
      <w:bookmarkEnd w:id="69"/>
      <w:bookmarkEnd w:id="70"/>
      <w:bookmarkEnd w:id="71"/>
      <w:r w:rsidRPr="00FD3BA0">
        <w:t xml:space="preserve"> </w:t>
      </w:r>
    </w:p>
    <w:p w14:paraId="635ED265" w14:textId="77777777" w:rsidR="005C1248" w:rsidRDefault="005C1248" w:rsidP="005C1248">
      <w:pPr>
        <w:pStyle w:val="Subtitle"/>
      </w:pPr>
      <w:r w:rsidRPr="003B5FA8">
        <w:t>for Aboriginal Community Controlled Health Organisations</w:t>
      </w:r>
    </w:p>
    <w:p w14:paraId="47BA5CEF" w14:textId="77777777" w:rsidR="005C1248" w:rsidRPr="00B51AE6" w:rsidRDefault="005C1248" w:rsidP="005C1248">
      <w:pPr>
        <w:rPr>
          <w:b/>
        </w:rPr>
      </w:pPr>
    </w:p>
    <w:p w14:paraId="538C1A69" w14:textId="77777777" w:rsidR="005C1248" w:rsidRDefault="005C1248" w:rsidP="005C1248">
      <w:pPr>
        <w:pStyle w:val="Heading4"/>
        <w:rPr>
          <w:rStyle w:val="Strong"/>
          <w:b/>
          <w:bCs w:val="0"/>
        </w:rPr>
      </w:pPr>
      <w:r w:rsidRPr="00937BFF">
        <w:rPr>
          <w:b w:val="0"/>
          <w:bCs/>
          <w:noProof/>
        </w:rPr>
        <w:drawing>
          <wp:anchor distT="0" distB="0" distL="114300" distR="114300" simplePos="0" relativeHeight="251658242" behindDoc="1" locked="0" layoutInCell="1" allowOverlap="1" wp14:anchorId="0A573E3F" wp14:editId="4FFB9FA6">
            <wp:simplePos x="0" y="0"/>
            <wp:positionH relativeFrom="margin">
              <wp:posOffset>4985385</wp:posOffset>
            </wp:positionH>
            <wp:positionV relativeFrom="paragraph">
              <wp:posOffset>6350</wp:posOffset>
            </wp:positionV>
            <wp:extent cx="1104900" cy="365125"/>
            <wp:effectExtent l="0" t="0" r="0" b="0"/>
            <wp:wrapTight wrapText="bothSides">
              <wp:wrapPolygon edited="0">
                <wp:start x="2979" y="0"/>
                <wp:lineTo x="0" y="5635"/>
                <wp:lineTo x="0" y="15777"/>
                <wp:lineTo x="7448" y="19158"/>
                <wp:lineTo x="17876" y="19158"/>
                <wp:lineTo x="20855" y="11270"/>
                <wp:lineTo x="20110" y="5635"/>
                <wp:lineTo x="5214" y="0"/>
                <wp:lineTo x="2979" y="0"/>
              </wp:wrapPolygon>
            </wp:wrapTight>
            <wp:docPr id="1236585479" name="Picture 1236585479" descr="The image displays the logo of the Digital Health Standards Council of Australasi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585479" name="Picture 1236585479" descr="The image displays the logo of the Digital Health Standards Council of Australasia.&#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04900" cy="365125"/>
                    </a:xfrm>
                    <a:prstGeom prst="rect">
                      <a:avLst/>
                    </a:prstGeom>
                  </pic:spPr>
                </pic:pic>
              </a:graphicData>
            </a:graphic>
            <wp14:sizeRelH relativeFrom="page">
              <wp14:pctWidth>0</wp14:pctWidth>
            </wp14:sizeRelH>
            <wp14:sizeRelV relativeFrom="page">
              <wp14:pctHeight>0</wp14:pctHeight>
            </wp14:sizeRelV>
          </wp:anchor>
        </w:drawing>
      </w:r>
      <w:r w:rsidRPr="00B51AE6">
        <w:rPr>
          <w:rStyle w:val="Strong"/>
          <w:b/>
          <w:bCs w:val="0"/>
        </w:rPr>
        <w:t>Prepared for NACCHO by Digital Health Standards Council of Australasia</w:t>
      </w:r>
    </w:p>
    <w:p w14:paraId="40DE02F7" w14:textId="77777777" w:rsidR="005C1248" w:rsidRDefault="005C1248" w:rsidP="005C1248"/>
    <w:p w14:paraId="202488E3" w14:textId="77777777" w:rsidR="005C1248" w:rsidRPr="00B51AE6" w:rsidRDefault="005C1248" w:rsidP="005C1248"/>
    <w:tbl>
      <w:tblPr>
        <w:tblStyle w:val="TableGrid"/>
        <w:tblW w:w="0" w:type="auto"/>
        <w:tblLook w:val="04A0" w:firstRow="1" w:lastRow="0" w:firstColumn="1" w:lastColumn="0" w:noHBand="0" w:noVBand="1"/>
      </w:tblPr>
      <w:tblGrid>
        <w:gridCol w:w="1926"/>
        <w:gridCol w:w="1926"/>
        <w:gridCol w:w="1926"/>
        <w:gridCol w:w="1927"/>
        <w:gridCol w:w="1927"/>
      </w:tblGrid>
      <w:tr w:rsidR="005C1248" w14:paraId="65835761" w14:textId="77777777" w:rsidTr="00DC543A">
        <w:tc>
          <w:tcPr>
            <w:cnfStyle w:val="001000000000" w:firstRow="0" w:lastRow="0" w:firstColumn="1" w:lastColumn="0" w:oddVBand="0" w:evenVBand="0" w:oddHBand="0" w:evenHBand="0" w:firstRowFirstColumn="0" w:firstRowLastColumn="0" w:lastRowFirstColumn="0" w:lastRowLastColumn="0"/>
            <w:tcW w:w="1926" w:type="dxa"/>
          </w:tcPr>
          <w:p w14:paraId="34A4270F" w14:textId="77777777" w:rsidR="005C1248" w:rsidRDefault="005C1248" w:rsidP="00DC543A">
            <w:r>
              <w:t>Version</w:t>
            </w:r>
          </w:p>
        </w:tc>
        <w:tc>
          <w:tcPr>
            <w:tcW w:w="1926" w:type="dxa"/>
          </w:tcPr>
          <w:p w14:paraId="187B45F0" w14:textId="77777777" w:rsidR="005C1248" w:rsidRDefault="005C1248" w:rsidP="00DC543A">
            <w:pPr>
              <w:cnfStyle w:val="000000000000" w:firstRow="0" w:lastRow="0" w:firstColumn="0" w:lastColumn="0" w:oddVBand="0" w:evenVBand="0" w:oddHBand="0" w:evenHBand="0" w:firstRowFirstColumn="0" w:firstRowLastColumn="0" w:lastRowFirstColumn="0" w:lastRowLastColumn="0"/>
            </w:pPr>
            <w:r>
              <w:t>Prepared</w:t>
            </w:r>
          </w:p>
        </w:tc>
        <w:tc>
          <w:tcPr>
            <w:tcW w:w="1926" w:type="dxa"/>
          </w:tcPr>
          <w:p w14:paraId="4C36D9B6" w14:textId="77777777" w:rsidR="005C1248" w:rsidRDefault="005C1248" w:rsidP="00DC543A">
            <w:pPr>
              <w:cnfStyle w:val="000000000000" w:firstRow="0" w:lastRow="0" w:firstColumn="0" w:lastColumn="0" w:oddVBand="0" w:evenVBand="0" w:oddHBand="0" w:evenHBand="0" w:firstRowFirstColumn="0" w:firstRowLastColumn="0" w:lastRowFirstColumn="0" w:lastRowLastColumn="0"/>
            </w:pPr>
          </w:p>
        </w:tc>
        <w:tc>
          <w:tcPr>
            <w:tcW w:w="1927" w:type="dxa"/>
          </w:tcPr>
          <w:p w14:paraId="6F4AE691" w14:textId="77777777" w:rsidR="005C1248" w:rsidRDefault="005C1248" w:rsidP="00DC543A">
            <w:pPr>
              <w:cnfStyle w:val="000000000000" w:firstRow="0" w:lastRow="0" w:firstColumn="0" w:lastColumn="0" w:oddVBand="0" w:evenVBand="0" w:oddHBand="0" w:evenHBand="0" w:firstRowFirstColumn="0" w:firstRowLastColumn="0" w:lastRowFirstColumn="0" w:lastRowLastColumn="0"/>
            </w:pPr>
          </w:p>
        </w:tc>
        <w:tc>
          <w:tcPr>
            <w:tcW w:w="1927" w:type="dxa"/>
          </w:tcPr>
          <w:p w14:paraId="277C4582" w14:textId="77777777" w:rsidR="005C1248" w:rsidRDefault="005C1248" w:rsidP="00DC543A">
            <w:pPr>
              <w:cnfStyle w:val="000000000000" w:firstRow="0" w:lastRow="0" w:firstColumn="0" w:lastColumn="0" w:oddVBand="0" w:evenVBand="0" w:oddHBand="0" w:evenHBand="0" w:firstRowFirstColumn="0" w:firstRowLastColumn="0" w:lastRowFirstColumn="0" w:lastRowLastColumn="0"/>
            </w:pPr>
          </w:p>
        </w:tc>
      </w:tr>
      <w:tr w:rsidR="005C1248" w14:paraId="32D401D6" w14:textId="77777777" w:rsidTr="00DC543A">
        <w:tc>
          <w:tcPr>
            <w:cnfStyle w:val="001000000000" w:firstRow="0" w:lastRow="0" w:firstColumn="1" w:lastColumn="0" w:oddVBand="0" w:evenVBand="0" w:oddHBand="0" w:evenHBand="0" w:firstRowFirstColumn="0" w:firstRowLastColumn="0" w:lastRowFirstColumn="0" w:lastRowLastColumn="0"/>
            <w:tcW w:w="1926" w:type="dxa"/>
          </w:tcPr>
          <w:p w14:paraId="7ABC0531" w14:textId="77777777" w:rsidR="005C1248" w:rsidRDefault="005C1248" w:rsidP="00DC543A">
            <w:r>
              <w:t>1.2</w:t>
            </w:r>
          </w:p>
        </w:tc>
        <w:tc>
          <w:tcPr>
            <w:tcW w:w="1926" w:type="dxa"/>
          </w:tcPr>
          <w:p w14:paraId="1A202AA7" w14:textId="77777777" w:rsidR="005C1248" w:rsidRDefault="005C1248" w:rsidP="00DC543A">
            <w:pPr>
              <w:cnfStyle w:val="000000000000" w:firstRow="0" w:lastRow="0" w:firstColumn="0" w:lastColumn="0" w:oddVBand="0" w:evenVBand="0" w:oddHBand="0" w:evenHBand="0" w:firstRowFirstColumn="0" w:firstRowLastColumn="0" w:lastRowFirstColumn="0" w:lastRowLastColumn="0"/>
            </w:pPr>
            <w:r>
              <w:t>24 August 2026</w:t>
            </w:r>
          </w:p>
        </w:tc>
        <w:tc>
          <w:tcPr>
            <w:tcW w:w="1926" w:type="dxa"/>
          </w:tcPr>
          <w:p w14:paraId="5F111A43" w14:textId="77777777" w:rsidR="005C1248" w:rsidRDefault="005C1248" w:rsidP="00DC543A">
            <w:pPr>
              <w:cnfStyle w:val="000000000000" w:firstRow="0" w:lastRow="0" w:firstColumn="0" w:lastColumn="0" w:oddVBand="0" w:evenVBand="0" w:oddHBand="0" w:evenHBand="0" w:firstRowFirstColumn="0" w:firstRowLastColumn="0" w:lastRowFirstColumn="0" w:lastRowLastColumn="0"/>
            </w:pPr>
          </w:p>
        </w:tc>
        <w:tc>
          <w:tcPr>
            <w:tcW w:w="1927" w:type="dxa"/>
          </w:tcPr>
          <w:p w14:paraId="2E297520" w14:textId="77777777" w:rsidR="005C1248" w:rsidRDefault="005C1248" w:rsidP="00DC543A">
            <w:pPr>
              <w:cnfStyle w:val="000000000000" w:firstRow="0" w:lastRow="0" w:firstColumn="0" w:lastColumn="0" w:oddVBand="0" w:evenVBand="0" w:oddHBand="0" w:evenHBand="0" w:firstRowFirstColumn="0" w:firstRowLastColumn="0" w:lastRowFirstColumn="0" w:lastRowLastColumn="0"/>
            </w:pPr>
          </w:p>
        </w:tc>
        <w:tc>
          <w:tcPr>
            <w:tcW w:w="1927" w:type="dxa"/>
          </w:tcPr>
          <w:p w14:paraId="077F1EFA" w14:textId="77777777" w:rsidR="005C1248" w:rsidRDefault="005C1248" w:rsidP="00DC543A">
            <w:pPr>
              <w:cnfStyle w:val="000000000000" w:firstRow="0" w:lastRow="0" w:firstColumn="0" w:lastColumn="0" w:oddVBand="0" w:evenVBand="0" w:oddHBand="0" w:evenHBand="0" w:firstRowFirstColumn="0" w:firstRowLastColumn="0" w:lastRowFirstColumn="0" w:lastRowLastColumn="0"/>
            </w:pPr>
          </w:p>
        </w:tc>
      </w:tr>
    </w:tbl>
    <w:p w14:paraId="46A40151" w14:textId="77777777" w:rsidR="003513FB" w:rsidRDefault="003513FB" w:rsidP="003544D8"/>
    <w:p w14:paraId="0DA10205" w14:textId="77777777" w:rsidR="00576775" w:rsidRDefault="00F13727" w:rsidP="00F542FB">
      <w:pPr>
        <w:pStyle w:val="Heading1"/>
        <w:spacing w:after="1080"/>
        <w:rPr>
          <w:noProof/>
        </w:rPr>
      </w:pPr>
      <w:bookmarkStart w:id="72" w:name="_Toc240897564"/>
      <w:bookmarkStart w:id="73" w:name="_Toc240956375"/>
      <w:bookmarkStart w:id="74" w:name="_Toc240956429"/>
      <w:bookmarkStart w:id="75" w:name="_Toc240960027"/>
      <w:r>
        <w:lastRenderedPageBreak/>
        <w:t>Contents</w:t>
      </w:r>
      <w:bookmarkEnd w:id="72"/>
      <w:bookmarkEnd w:id="73"/>
      <w:bookmarkEnd w:id="74"/>
      <w:bookmarkEnd w:id="75"/>
      <w:r w:rsidR="00EF12EB">
        <w:fldChar w:fldCharType="begin"/>
      </w:r>
      <w:r w:rsidR="00EF12EB">
        <w:instrText xml:space="preserve"> TOC \o "1-2" \h \z \u </w:instrText>
      </w:r>
      <w:r w:rsidR="00EF12EB">
        <w:fldChar w:fldCharType="separate"/>
      </w:r>
    </w:p>
    <w:p w14:paraId="5127FF02" w14:textId="7FAE6DA4" w:rsidR="00576775" w:rsidRDefault="00576775" w:rsidP="00ED5A8A">
      <w:pPr>
        <w:pStyle w:val="TOC1"/>
        <w:rPr>
          <w:rFonts w:asciiTheme="minorHAnsi" w:eastAsiaTheme="minorEastAsia" w:hAnsiTheme="minorHAnsi"/>
          <w:noProof/>
          <w:color w:val="auto"/>
          <w:lang w:val="en-AU" w:eastAsia="en-AU"/>
        </w:rPr>
      </w:pPr>
      <w:hyperlink w:anchor="_Toc240897563" w:history="1">
        <w:r w:rsidRPr="00797824">
          <w:rPr>
            <w:rStyle w:val="Hyperlink"/>
            <w:noProof/>
          </w:rPr>
          <w:t>AI Governance Framework</w:t>
        </w:r>
        <w:r>
          <w:rPr>
            <w:noProof/>
            <w:webHidden/>
          </w:rPr>
          <w:tab/>
        </w:r>
        <w:r>
          <w:rPr>
            <w:noProof/>
            <w:webHidden/>
          </w:rPr>
          <w:fldChar w:fldCharType="begin"/>
        </w:r>
        <w:r>
          <w:rPr>
            <w:noProof/>
            <w:webHidden/>
          </w:rPr>
          <w:instrText xml:space="preserve"> PAGEREF _Toc240897563 \h </w:instrText>
        </w:r>
        <w:r>
          <w:rPr>
            <w:noProof/>
            <w:webHidden/>
          </w:rPr>
        </w:r>
        <w:r>
          <w:rPr>
            <w:noProof/>
            <w:webHidden/>
          </w:rPr>
          <w:fldChar w:fldCharType="separate"/>
        </w:r>
        <w:r w:rsidR="00212FC9">
          <w:rPr>
            <w:noProof/>
            <w:webHidden/>
          </w:rPr>
          <w:t>6</w:t>
        </w:r>
        <w:r>
          <w:rPr>
            <w:noProof/>
            <w:webHidden/>
          </w:rPr>
          <w:fldChar w:fldCharType="end"/>
        </w:r>
      </w:hyperlink>
    </w:p>
    <w:p w14:paraId="66E666ED" w14:textId="6EFFD2A3" w:rsidR="00576775" w:rsidRDefault="00576775" w:rsidP="00ED5A8A">
      <w:pPr>
        <w:pStyle w:val="TOC1"/>
        <w:rPr>
          <w:rFonts w:asciiTheme="minorHAnsi" w:eastAsiaTheme="minorEastAsia" w:hAnsiTheme="minorHAnsi"/>
          <w:noProof/>
          <w:color w:val="auto"/>
          <w:lang w:val="en-AU" w:eastAsia="en-AU"/>
        </w:rPr>
      </w:pPr>
      <w:hyperlink w:anchor="_Toc240897565" w:history="1">
        <w:r w:rsidRPr="00797824">
          <w:rPr>
            <w:rStyle w:val="Hyperlink"/>
            <w:rFonts w:ascii="Arial" w:hAnsi="Arial" w:cs="Arial"/>
            <w:noProof/>
          </w:rPr>
          <w:t>1. Introduction</w:t>
        </w:r>
        <w:r>
          <w:rPr>
            <w:noProof/>
            <w:webHidden/>
          </w:rPr>
          <w:tab/>
        </w:r>
        <w:r>
          <w:rPr>
            <w:noProof/>
            <w:webHidden/>
          </w:rPr>
          <w:fldChar w:fldCharType="begin"/>
        </w:r>
        <w:r>
          <w:rPr>
            <w:noProof/>
            <w:webHidden/>
          </w:rPr>
          <w:instrText xml:space="preserve"> PAGEREF _Toc240897565 \h </w:instrText>
        </w:r>
        <w:r>
          <w:rPr>
            <w:noProof/>
            <w:webHidden/>
          </w:rPr>
        </w:r>
        <w:r>
          <w:rPr>
            <w:noProof/>
            <w:webHidden/>
          </w:rPr>
          <w:fldChar w:fldCharType="separate"/>
        </w:r>
        <w:r w:rsidR="00212FC9">
          <w:rPr>
            <w:noProof/>
            <w:webHidden/>
          </w:rPr>
          <w:t>8</w:t>
        </w:r>
        <w:r>
          <w:rPr>
            <w:noProof/>
            <w:webHidden/>
          </w:rPr>
          <w:fldChar w:fldCharType="end"/>
        </w:r>
      </w:hyperlink>
    </w:p>
    <w:p w14:paraId="300788DC" w14:textId="0D1BEFF9" w:rsidR="00576775" w:rsidRDefault="00576775" w:rsidP="00ED5A8A">
      <w:pPr>
        <w:pStyle w:val="TOC1"/>
        <w:rPr>
          <w:rFonts w:asciiTheme="minorHAnsi" w:eastAsiaTheme="minorEastAsia" w:hAnsiTheme="minorHAnsi"/>
          <w:noProof/>
          <w:color w:val="auto"/>
          <w:lang w:val="en-AU" w:eastAsia="en-AU"/>
        </w:rPr>
      </w:pPr>
      <w:hyperlink w:anchor="_Toc240897566" w:history="1">
        <w:r w:rsidRPr="00797824">
          <w:rPr>
            <w:rStyle w:val="Hyperlink"/>
            <w:rFonts w:ascii="Arial" w:hAnsi="Arial" w:cs="Arial"/>
            <w:noProof/>
          </w:rPr>
          <w:t>2. Rationale</w:t>
        </w:r>
        <w:r>
          <w:rPr>
            <w:noProof/>
            <w:webHidden/>
          </w:rPr>
          <w:tab/>
        </w:r>
        <w:r>
          <w:rPr>
            <w:noProof/>
            <w:webHidden/>
          </w:rPr>
          <w:fldChar w:fldCharType="begin"/>
        </w:r>
        <w:r>
          <w:rPr>
            <w:noProof/>
            <w:webHidden/>
          </w:rPr>
          <w:instrText xml:space="preserve"> PAGEREF _Toc240897566 \h </w:instrText>
        </w:r>
        <w:r>
          <w:rPr>
            <w:noProof/>
            <w:webHidden/>
          </w:rPr>
        </w:r>
        <w:r>
          <w:rPr>
            <w:noProof/>
            <w:webHidden/>
          </w:rPr>
          <w:fldChar w:fldCharType="separate"/>
        </w:r>
        <w:r w:rsidR="00212FC9">
          <w:rPr>
            <w:noProof/>
            <w:webHidden/>
          </w:rPr>
          <w:t>9</w:t>
        </w:r>
        <w:r>
          <w:rPr>
            <w:noProof/>
            <w:webHidden/>
          </w:rPr>
          <w:fldChar w:fldCharType="end"/>
        </w:r>
      </w:hyperlink>
    </w:p>
    <w:p w14:paraId="2C1A35F1" w14:textId="07B7327E" w:rsidR="00576775" w:rsidRDefault="00576775" w:rsidP="00ED5A8A">
      <w:pPr>
        <w:pStyle w:val="TOC1"/>
        <w:rPr>
          <w:rFonts w:asciiTheme="minorHAnsi" w:eastAsiaTheme="minorEastAsia" w:hAnsiTheme="minorHAnsi"/>
          <w:noProof/>
          <w:color w:val="auto"/>
          <w:lang w:val="en-AU" w:eastAsia="en-AU"/>
        </w:rPr>
      </w:pPr>
      <w:hyperlink w:anchor="_Toc240897567" w:history="1">
        <w:r w:rsidRPr="00797824">
          <w:rPr>
            <w:rStyle w:val="Hyperlink"/>
            <w:rFonts w:ascii="Arial" w:hAnsi="Arial" w:cs="Arial"/>
            <w:noProof/>
          </w:rPr>
          <w:t>3. Operating context</w:t>
        </w:r>
        <w:r>
          <w:rPr>
            <w:noProof/>
            <w:webHidden/>
          </w:rPr>
          <w:tab/>
        </w:r>
        <w:r>
          <w:rPr>
            <w:noProof/>
            <w:webHidden/>
          </w:rPr>
          <w:fldChar w:fldCharType="begin"/>
        </w:r>
        <w:r>
          <w:rPr>
            <w:noProof/>
            <w:webHidden/>
          </w:rPr>
          <w:instrText xml:space="preserve"> PAGEREF _Toc240897567 \h </w:instrText>
        </w:r>
        <w:r>
          <w:rPr>
            <w:noProof/>
            <w:webHidden/>
          </w:rPr>
        </w:r>
        <w:r>
          <w:rPr>
            <w:noProof/>
            <w:webHidden/>
          </w:rPr>
          <w:fldChar w:fldCharType="separate"/>
        </w:r>
        <w:r w:rsidR="00212FC9">
          <w:rPr>
            <w:noProof/>
            <w:webHidden/>
          </w:rPr>
          <w:t>10</w:t>
        </w:r>
        <w:r>
          <w:rPr>
            <w:noProof/>
            <w:webHidden/>
          </w:rPr>
          <w:fldChar w:fldCharType="end"/>
        </w:r>
      </w:hyperlink>
    </w:p>
    <w:p w14:paraId="0494261C" w14:textId="3F2A2E2C" w:rsidR="00576775" w:rsidRDefault="00576775" w:rsidP="00ED5A8A">
      <w:pPr>
        <w:pStyle w:val="TOC1"/>
        <w:rPr>
          <w:rFonts w:asciiTheme="minorHAnsi" w:eastAsiaTheme="minorEastAsia" w:hAnsiTheme="minorHAnsi"/>
          <w:noProof/>
          <w:color w:val="auto"/>
          <w:lang w:val="en-AU" w:eastAsia="en-AU"/>
        </w:rPr>
      </w:pPr>
      <w:hyperlink w:anchor="_Toc240897568" w:history="1">
        <w:r w:rsidRPr="00797824">
          <w:rPr>
            <w:rStyle w:val="Hyperlink"/>
            <w:rFonts w:ascii="Arial" w:eastAsiaTheme="majorEastAsia" w:hAnsi="Arial" w:cs="Arial"/>
            <w:noProof/>
          </w:rPr>
          <w:t>4. How the Framework operates</w:t>
        </w:r>
        <w:r>
          <w:rPr>
            <w:noProof/>
            <w:webHidden/>
          </w:rPr>
          <w:tab/>
        </w:r>
        <w:r>
          <w:rPr>
            <w:noProof/>
            <w:webHidden/>
          </w:rPr>
          <w:fldChar w:fldCharType="begin"/>
        </w:r>
        <w:r>
          <w:rPr>
            <w:noProof/>
            <w:webHidden/>
          </w:rPr>
          <w:instrText xml:space="preserve"> PAGEREF _Toc240897568 \h </w:instrText>
        </w:r>
        <w:r>
          <w:rPr>
            <w:noProof/>
            <w:webHidden/>
          </w:rPr>
        </w:r>
        <w:r>
          <w:rPr>
            <w:noProof/>
            <w:webHidden/>
          </w:rPr>
          <w:fldChar w:fldCharType="separate"/>
        </w:r>
        <w:r w:rsidR="00212FC9">
          <w:rPr>
            <w:noProof/>
            <w:webHidden/>
          </w:rPr>
          <w:t>14</w:t>
        </w:r>
        <w:r>
          <w:rPr>
            <w:noProof/>
            <w:webHidden/>
          </w:rPr>
          <w:fldChar w:fldCharType="end"/>
        </w:r>
      </w:hyperlink>
    </w:p>
    <w:p w14:paraId="3ED00414" w14:textId="6EDB9853" w:rsidR="00576775" w:rsidRDefault="00576775" w:rsidP="00ED5A8A">
      <w:pPr>
        <w:pStyle w:val="TOC1"/>
        <w:rPr>
          <w:rFonts w:asciiTheme="minorHAnsi" w:eastAsiaTheme="minorEastAsia" w:hAnsiTheme="minorHAnsi"/>
          <w:noProof/>
          <w:color w:val="auto"/>
          <w:lang w:val="en-AU" w:eastAsia="en-AU"/>
        </w:rPr>
      </w:pPr>
      <w:hyperlink w:anchor="_Toc240897571" w:history="1">
        <w:r w:rsidRPr="00797824">
          <w:rPr>
            <w:rStyle w:val="Hyperlink"/>
            <w:rFonts w:ascii="Arial" w:hAnsi="Arial" w:cs="Arial"/>
            <w:noProof/>
          </w:rPr>
          <w:t>5. Foundational principles for AI Governance in ACCHOs</w:t>
        </w:r>
        <w:r>
          <w:rPr>
            <w:noProof/>
            <w:webHidden/>
          </w:rPr>
          <w:tab/>
        </w:r>
        <w:r>
          <w:rPr>
            <w:noProof/>
            <w:webHidden/>
          </w:rPr>
          <w:fldChar w:fldCharType="begin"/>
        </w:r>
        <w:r>
          <w:rPr>
            <w:noProof/>
            <w:webHidden/>
          </w:rPr>
          <w:instrText xml:space="preserve"> PAGEREF _Toc240897571 \h </w:instrText>
        </w:r>
        <w:r>
          <w:rPr>
            <w:noProof/>
            <w:webHidden/>
          </w:rPr>
        </w:r>
        <w:r>
          <w:rPr>
            <w:noProof/>
            <w:webHidden/>
          </w:rPr>
          <w:fldChar w:fldCharType="separate"/>
        </w:r>
        <w:r w:rsidR="00212FC9">
          <w:rPr>
            <w:noProof/>
            <w:webHidden/>
          </w:rPr>
          <w:t>16</w:t>
        </w:r>
        <w:r>
          <w:rPr>
            <w:noProof/>
            <w:webHidden/>
          </w:rPr>
          <w:fldChar w:fldCharType="end"/>
        </w:r>
      </w:hyperlink>
    </w:p>
    <w:p w14:paraId="4D394E4E" w14:textId="595217A7" w:rsidR="00576775" w:rsidRDefault="00576775" w:rsidP="00ED5A8A">
      <w:pPr>
        <w:pStyle w:val="TOC1"/>
        <w:rPr>
          <w:rFonts w:asciiTheme="minorHAnsi" w:eastAsiaTheme="minorEastAsia" w:hAnsiTheme="minorHAnsi"/>
          <w:noProof/>
          <w:color w:val="auto"/>
          <w:lang w:val="en-AU" w:eastAsia="en-AU"/>
        </w:rPr>
      </w:pPr>
      <w:hyperlink w:anchor="_Toc240897572" w:history="1">
        <w:r w:rsidRPr="00797824">
          <w:rPr>
            <w:rStyle w:val="Hyperlink"/>
            <w:rFonts w:ascii="Arial" w:hAnsi="Arial" w:cs="Arial"/>
            <w:noProof/>
          </w:rPr>
          <w:t>6. Framework domains</w:t>
        </w:r>
        <w:r>
          <w:rPr>
            <w:noProof/>
            <w:webHidden/>
          </w:rPr>
          <w:tab/>
        </w:r>
        <w:r>
          <w:rPr>
            <w:noProof/>
            <w:webHidden/>
          </w:rPr>
          <w:fldChar w:fldCharType="begin"/>
        </w:r>
        <w:r>
          <w:rPr>
            <w:noProof/>
            <w:webHidden/>
          </w:rPr>
          <w:instrText xml:space="preserve"> PAGEREF _Toc240897572 \h </w:instrText>
        </w:r>
        <w:r>
          <w:rPr>
            <w:noProof/>
            <w:webHidden/>
          </w:rPr>
        </w:r>
        <w:r>
          <w:rPr>
            <w:noProof/>
            <w:webHidden/>
          </w:rPr>
          <w:fldChar w:fldCharType="separate"/>
        </w:r>
        <w:r w:rsidR="00212FC9">
          <w:rPr>
            <w:noProof/>
            <w:webHidden/>
          </w:rPr>
          <w:t>17</w:t>
        </w:r>
        <w:r>
          <w:rPr>
            <w:noProof/>
            <w:webHidden/>
          </w:rPr>
          <w:fldChar w:fldCharType="end"/>
        </w:r>
      </w:hyperlink>
    </w:p>
    <w:p w14:paraId="6FE9A463" w14:textId="59074B26" w:rsidR="00576775" w:rsidRDefault="00576775" w:rsidP="00ED5A8A">
      <w:pPr>
        <w:pStyle w:val="TOC1"/>
        <w:rPr>
          <w:rFonts w:asciiTheme="minorHAnsi" w:eastAsiaTheme="minorEastAsia" w:hAnsiTheme="minorHAnsi"/>
          <w:noProof/>
          <w:color w:val="auto"/>
          <w:lang w:val="en-AU" w:eastAsia="en-AU"/>
        </w:rPr>
      </w:pPr>
      <w:hyperlink w:anchor="_Toc240897579" w:history="1">
        <w:r w:rsidRPr="00797824">
          <w:rPr>
            <w:rStyle w:val="Hyperlink"/>
            <w:rFonts w:ascii="Arial" w:hAnsi="Arial" w:cs="Arial"/>
            <w:noProof/>
          </w:rPr>
          <w:t>Appendix 1 – Risk matrices</w:t>
        </w:r>
        <w:r>
          <w:rPr>
            <w:noProof/>
            <w:webHidden/>
          </w:rPr>
          <w:tab/>
        </w:r>
        <w:r>
          <w:rPr>
            <w:noProof/>
            <w:webHidden/>
          </w:rPr>
          <w:fldChar w:fldCharType="begin"/>
        </w:r>
        <w:r>
          <w:rPr>
            <w:noProof/>
            <w:webHidden/>
          </w:rPr>
          <w:instrText xml:space="preserve"> PAGEREF _Toc240897579 \h </w:instrText>
        </w:r>
        <w:r>
          <w:rPr>
            <w:noProof/>
            <w:webHidden/>
          </w:rPr>
        </w:r>
        <w:r>
          <w:rPr>
            <w:noProof/>
            <w:webHidden/>
          </w:rPr>
          <w:fldChar w:fldCharType="separate"/>
        </w:r>
        <w:r w:rsidR="00212FC9">
          <w:rPr>
            <w:noProof/>
            <w:webHidden/>
          </w:rPr>
          <w:t>27</w:t>
        </w:r>
        <w:r>
          <w:rPr>
            <w:noProof/>
            <w:webHidden/>
          </w:rPr>
          <w:fldChar w:fldCharType="end"/>
        </w:r>
      </w:hyperlink>
    </w:p>
    <w:p w14:paraId="7594FBF4" w14:textId="4B46B1FC" w:rsidR="00576775" w:rsidRDefault="00576775" w:rsidP="00ED5A8A">
      <w:pPr>
        <w:pStyle w:val="TOC1"/>
        <w:rPr>
          <w:rFonts w:asciiTheme="minorHAnsi" w:eastAsiaTheme="minorEastAsia" w:hAnsiTheme="minorHAnsi"/>
          <w:noProof/>
          <w:color w:val="auto"/>
          <w:lang w:val="en-AU" w:eastAsia="en-AU"/>
        </w:rPr>
      </w:pPr>
      <w:hyperlink w:anchor="_Toc240897582" w:history="1">
        <w:r w:rsidRPr="00797824">
          <w:rPr>
            <w:rStyle w:val="Hyperlink"/>
            <w:rFonts w:ascii="Arial" w:hAnsi="Arial" w:cs="Arial"/>
            <w:noProof/>
          </w:rPr>
          <w:t>Glossary of terms</w:t>
        </w:r>
        <w:r>
          <w:rPr>
            <w:noProof/>
            <w:webHidden/>
          </w:rPr>
          <w:tab/>
        </w:r>
        <w:r>
          <w:rPr>
            <w:noProof/>
            <w:webHidden/>
          </w:rPr>
          <w:fldChar w:fldCharType="begin"/>
        </w:r>
        <w:r>
          <w:rPr>
            <w:noProof/>
            <w:webHidden/>
          </w:rPr>
          <w:instrText xml:space="preserve"> PAGEREF _Toc240897582 \h </w:instrText>
        </w:r>
        <w:r>
          <w:rPr>
            <w:noProof/>
            <w:webHidden/>
          </w:rPr>
        </w:r>
        <w:r>
          <w:rPr>
            <w:noProof/>
            <w:webHidden/>
          </w:rPr>
          <w:fldChar w:fldCharType="separate"/>
        </w:r>
        <w:r w:rsidR="00212FC9">
          <w:rPr>
            <w:noProof/>
            <w:webHidden/>
          </w:rPr>
          <w:t>29</w:t>
        </w:r>
        <w:r>
          <w:rPr>
            <w:noProof/>
            <w:webHidden/>
          </w:rPr>
          <w:fldChar w:fldCharType="end"/>
        </w:r>
      </w:hyperlink>
    </w:p>
    <w:p w14:paraId="6F92A817" w14:textId="485CB734" w:rsidR="00576775" w:rsidRDefault="00576775" w:rsidP="00ED5A8A">
      <w:pPr>
        <w:pStyle w:val="TOC1"/>
        <w:rPr>
          <w:rFonts w:asciiTheme="minorHAnsi" w:eastAsiaTheme="minorEastAsia" w:hAnsiTheme="minorHAnsi"/>
          <w:noProof/>
          <w:color w:val="auto"/>
          <w:lang w:val="en-AU" w:eastAsia="en-AU"/>
        </w:rPr>
      </w:pPr>
      <w:hyperlink w:anchor="_Toc240897583" w:history="1">
        <w:r w:rsidRPr="00797824">
          <w:rPr>
            <w:rStyle w:val="Hyperlink"/>
            <w:rFonts w:ascii="Arial" w:hAnsi="Arial" w:cs="Arial"/>
            <w:noProof/>
          </w:rPr>
          <w:t>References</w:t>
        </w:r>
        <w:r>
          <w:rPr>
            <w:noProof/>
            <w:webHidden/>
          </w:rPr>
          <w:tab/>
        </w:r>
        <w:r>
          <w:rPr>
            <w:noProof/>
            <w:webHidden/>
          </w:rPr>
          <w:fldChar w:fldCharType="begin"/>
        </w:r>
        <w:r>
          <w:rPr>
            <w:noProof/>
            <w:webHidden/>
          </w:rPr>
          <w:instrText xml:space="preserve"> PAGEREF _Toc240897583 \h </w:instrText>
        </w:r>
        <w:r>
          <w:rPr>
            <w:noProof/>
            <w:webHidden/>
          </w:rPr>
        </w:r>
        <w:r>
          <w:rPr>
            <w:noProof/>
            <w:webHidden/>
          </w:rPr>
          <w:fldChar w:fldCharType="separate"/>
        </w:r>
        <w:r w:rsidR="00212FC9">
          <w:rPr>
            <w:noProof/>
            <w:webHidden/>
          </w:rPr>
          <w:t>30</w:t>
        </w:r>
        <w:r>
          <w:rPr>
            <w:noProof/>
            <w:webHidden/>
          </w:rPr>
          <w:fldChar w:fldCharType="end"/>
        </w:r>
      </w:hyperlink>
    </w:p>
    <w:p w14:paraId="68475C49" w14:textId="434C8A83" w:rsidR="00576775" w:rsidRDefault="00576775" w:rsidP="00ED5A8A">
      <w:pPr>
        <w:pStyle w:val="TOC1"/>
        <w:rPr>
          <w:rFonts w:asciiTheme="minorHAnsi" w:eastAsiaTheme="minorEastAsia" w:hAnsiTheme="minorHAnsi"/>
          <w:noProof/>
          <w:color w:val="auto"/>
          <w:lang w:val="en-AU" w:eastAsia="en-AU"/>
        </w:rPr>
      </w:pPr>
      <w:hyperlink w:anchor="_Toc240897584" w:history="1">
        <w:r w:rsidRPr="00797824">
          <w:rPr>
            <w:rStyle w:val="Hyperlink"/>
            <w:noProof/>
          </w:rPr>
          <w:t>Acceptable Use of Artificial Intelligence (AI) Policy Template</w:t>
        </w:r>
        <w:r>
          <w:rPr>
            <w:noProof/>
            <w:webHidden/>
          </w:rPr>
          <w:tab/>
        </w:r>
        <w:r>
          <w:rPr>
            <w:noProof/>
            <w:webHidden/>
          </w:rPr>
          <w:fldChar w:fldCharType="begin"/>
        </w:r>
        <w:r>
          <w:rPr>
            <w:noProof/>
            <w:webHidden/>
          </w:rPr>
          <w:instrText xml:space="preserve"> PAGEREF _Toc240897584 \h </w:instrText>
        </w:r>
        <w:r>
          <w:rPr>
            <w:noProof/>
            <w:webHidden/>
          </w:rPr>
        </w:r>
        <w:r>
          <w:rPr>
            <w:noProof/>
            <w:webHidden/>
          </w:rPr>
          <w:fldChar w:fldCharType="separate"/>
        </w:r>
        <w:r w:rsidR="00212FC9">
          <w:rPr>
            <w:noProof/>
            <w:webHidden/>
          </w:rPr>
          <w:t>1</w:t>
        </w:r>
        <w:r>
          <w:rPr>
            <w:noProof/>
            <w:webHidden/>
          </w:rPr>
          <w:fldChar w:fldCharType="end"/>
        </w:r>
      </w:hyperlink>
    </w:p>
    <w:p w14:paraId="0357C2D2" w14:textId="25AE17D2" w:rsidR="00576775" w:rsidRDefault="00576775" w:rsidP="00ED5A8A">
      <w:pPr>
        <w:pStyle w:val="TOC1"/>
        <w:rPr>
          <w:rFonts w:asciiTheme="minorHAnsi" w:eastAsiaTheme="minorEastAsia" w:hAnsiTheme="minorHAnsi"/>
          <w:noProof/>
          <w:color w:val="auto"/>
          <w:lang w:val="en-AU" w:eastAsia="en-AU"/>
        </w:rPr>
      </w:pPr>
      <w:hyperlink w:anchor="_Toc240897599" w:history="1">
        <w:r w:rsidRPr="00797824">
          <w:rPr>
            <w:rStyle w:val="Hyperlink"/>
            <w:noProof/>
          </w:rPr>
          <w:t>Appendix A: Pre-use checklist</w:t>
        </w:r>
        <w:r>
          <w:rPr>
            <w:noProof/>
            <w:webHidden/>
          </w:rPr>
          <w:tab/>
        </w:r>
        <w:r>
          <w:rPr>
            <w:noProof/>
            <w:webHidden/>
          </w:rPr>
          <w:fldChar w:fldCharType="begin"/>
        </w:r>
        <w:r>
          <w:rPr>
            <w:noProof/>
            <w:webHidden/>
          </w:rPr>
          <w:instrText xml:space="preserve"> PAGEREF _Toc240897599 \h </w:instrText>
        </w:r>
        <w:r>
          <w:rPr>
            <w:noProof/>
            <w:webHidden/>
          </w:rPr>
        </w:r>
        <w:r>
          <w:rPr>
            <w:noProof/>
            <w:webHidden/>
          </w:rPr>
          <w:fldChar w:fldCharType="separate"/>
        </w:r>
        <w:r w:rsidR="00212FC9">
          <w:rPr>
            <w:noProof/>
            <w:webHidden/>
          </w:rPr>
          <w:t>12</w:t>
        </w:r>
        <w:r>
          <w:rPr>
            <w:noProof/>
            <w:webHidden/>
          </w:rPr>
          <w:fldChar w:fldCharType="end"/>
        </w:r>
      </w:hyperlink>
    </w:p>
    <w:p w14:paraId="12E8D2DB" w14:textId="52294608" w:rsidR="003A08E7" w:rsidRDefault="00EF12EB" w:rsidP="003544D8">
      <w:r>
        <w:fldChar w:fldCharType="end"/>
      </w:r>
    </w:p>
    <w:p w14:paraId="338CF366" w14:textId="77777777" w:rsidR="00200ACA" w:rsidRPr="00574173" w:rsidRDefault="00200ACA" w:rsidP="00200ACA">
      <w:pPr>
        <w:pStyle w:val="Heading1"/>
        <w:spacing w:after="120"/>
        <w:rPr>
          <w:rFonts w:ascii="Arial" w:hAnsi="Arial" w:cs="Arial"/>
          <w:color w:val="001441" w:themeColor="text1"/>
        </w:rPr>
      </w:pPr>
      <w:bookmarkStart w:id="76" w:name="_Toc238474890"/>
      <w:bookmarkStart w:id="77" w:name="_Toc238475803"/>
      <w:bookmarkStart w:id="78" w:name="_Toc238562121"/>
      <w:bookmarkStart w:id="79" w:name="_Toc239257304"/>
      <w:bookmarkStart w:id="80" w:name="_Toc239257407"/>
      <w:bookmarkStart w:id="81" w:name="_Toc239257508"/>
      <w:bookmarkStart w:id="82" w:name="_Toc240894352"/>
      <w:bookmarkStart w:id="83" w:name="_Toc240897565"/>
      <w:bookmarkStart w:id="84" w:name="_Toc240956376"/>
      <w:bookmarkStart w:id="85" w:name="_Toc240956430"/>
      <w:bookmarkStart w:id="86" w:name="_Toc240960028"/>
      <w:r w:rsidRPr="00574173">
        <w:rPr>
          <w:rFonts w:ascii="Arial" w:hAnsi="Arial" w:cs="Arial"/>
          <w:color w:val="001441" w:themeColor="text1"/>
        </w:rPr>
        <w:lastRenderedPageBreak/>
        <w:t>1. Introduction</w:t>
      </w:r>
      <w:bookmarkEnd w:id="76"/>
      <w:bookmarkEnd w:id="77"/>
      <w:bookmarkEnd w:id="78"/>
      <w:bookmarkEnd w:id="79"/>
      <w:bookmarkEnd w:id="80"/>
      <w:bookmarkEnd w:id="81"/>
      <w:bookmarkEnd w:id="82"/>
      <w:bookmarkEnd w:id="83"/>
      <w:bookmarkEnd w:id="84"/>
      <w:bookmarkEnd w:id="85"/>
      <w:bookmarkEnd w:id="86"/>
    </w:p>
    <w:p w14:paraId="41626D1E" w14:textId="77777777" w:rsidR="00200ACA" w:rsidRPr="00574173" w:rsidRDefault="00200ACA" w:rsidP="008318D7">
      <w:pPr>
        <w:pStyle w:val="NACCHOtext"/>
      </w:pPr>
      <w:r w:rsidRPr="00574173">
        <w:t>This document presents a</w:t>
      </w:r>
      <w:r>
        <w:t xml:space="preserve">n </w:t>
      </w:r>
      <w:r w:rsidRPr="00574173">
        <w:t>A</w:t>
      </w:r>
      <w:r>
        <w:t xml:space="preserve">rtificial </w:t>
      </w:r>
      <w:r w:rsidRPr="00574173">
        <w:t>I</w:t>
      </w:r>
      <w:r>
        <w:t>ntelligence</w:t>
      </w:r>
      <w:r w:rsidRPr="00574173">
        <w:t xml:space="preserve"> Governance Framework for Aboriginal Community Controlled Health Organisations (ACCHOs). The Framework has been developed by NACCHO with the support of the Digital Health Standards Council of Australasia, in response to the rapid emergence of </w:t>
      </w:r>
      <w:r>
        <w:t xml:space="preserve">AI </w:t>
      </w:r>
      <w:r w:rsidRPr="00574173">
        <w:t>tools in clinical and operational health workflows.</w:t>
      </w:r>
    </w:p>
    <w:p w14:paraId="665489CE" w14:textId="1064FFA4" w:rsidR="003F2BDA" w:rsidRDefault="00200ACA" w:rsidP="008318D7">
      <w:pPr>
        <w:pStyle w:val="NACCHOtext"/>
      </w:pPr>
      <w:r w:rsidRPr="00574173">
        <w:t xml:space="preserve">The Framework intends to give ACCHOs a structured, practical approach to assessing, deploying and governing AI-enabled tools in their Organisations. </w:t>
      </w:r>
      <w:r>
        <w:t>I</w:t>
      </w:r>
      <w:r w:rsidRPr="00574173">
        <w:t>t is designed to be used by ACCHO CEOs, Boards and senior leaders at the governing level, and by clinical leaders and Organisation managers at the operational level. The Framework is aligned with national and international AI governance standards, and the principles of Indigenous Data Sovereignty, Indigenous Data Governance, and Indigenous Cultural and Intellectual Property (ICIP).</w:t>
      </w:r>
    </w:p>
    <w:p w14:paraId="4D684FEA" w14:textId="77777777" w:rsidR="001F05C9" w:rsidRPr="00574173" w:rsidRDefault="001F05C9" w:rsidP="001F05C9">
      <w:pPr>
        <w:pStyle w:val="Heading1"/>
        <w:spacing w:before="240" w:after="120"/>
        <w:rPr>
          <w:rFonts w:ascii="Arial" w:hAnsi="Arial" w:cs="Arial"/>
          <w:color w:val="001441" w:themeColor="text1"/>
        </w:rPr>
      </w:pPr>
      <w:bookmarkStart w:id="87" w:name="_Toc240894353"/>
      <w:bookmarkStart w:id="88" w:name="_Toc240897566"/>
      <w:bookmarkStart w:id="89" w:name="_Toc240956377"/>
      <w:bookmarkStart w:id="90" w:name="_Toc240956431"/>
      <w:bookmarkStart w:id="91" w:name="_Toc240960029"/>
      <w:r w:rsidRPr="00574173">
        <w:rPr>
          <w:rFonts w:ascii="Arial" w:hAnsi="Arial" w:cs="Arial"/>
          <w:color w:val="001441" w:themeColor="text1"/>
        </w:rPr>
        <w:lastRenderedPageBreak/>
        <w:t>2. Rationale</w:t>
      </w:r>
      <w:bookmarkEnd w:id="87"/>
      <w:bookmarkEnd w:id="88"/>
      <w:bookmarkEnd w:id="89"/>
      <w:bookmarkEnd w:id="90"/>
      <w:bookmarkEnd w:id="91"/>
    </w:p>
    <w:p w14:paraId="35CEAC02" w14:textId="77777777" w:rsidR="001F05C9" w:rsidRPr="00574173" w:rsidRDefault="001F05C9" w:rsidP="001F05C9">
      <w:pPr>
        <w:pStyle w:val="Heading3"/>
        <w:spacing w:before="180"/>
        <w:rPr>
          <w:rFonts w:ascii="Arial" w:hAnsi="Arial" w:cs="Arial"/>
          <w:color w:val="4C59AB" w:themeColor="accent5" w:themeShade="BF"/>
          <w:sz w:val="28"/>
        </w:rPr>
      </w:pPr>
      <w:bookmarkStart w:id="92" w:name="_Toc240956378"/>
      <w:r w:rsidRPr="00574173">
        <w:rPr>
          <w:rFonts w:ascii="Arial" w:hAnsi="Arial" w:cs="Arial"/>
          <w:color w:val="4C59AB" w:themeColor="accent5" w:themeShade="BF"/>
        </w:rPr>
        <w:t>Why a sector-led Framework</w:t>
      </w:r>
      <w:bookmarkEnd w:id="92"/>
    </w:p>
    <w:p w14:paraId="54A9A70F" w14:textId="4231CB83" w:rsidR="001F05C9" w:rsidRPr="00D6710A" w:rsidRDefault="001F05C9" w:rsidP="008318D7">
      <w:pPr>
        <w:pStyle w:val="NACCHOtext"/>
      </w:pPr>
      <w:r w:rsidRPr="00D6710A">
        <w:t xml:space="preserve">Existing national AI governance instruments, including the National AI in Healthcare Policy Roadmap </w:t>
      </w:r>
      <w:r w:rsidRPr="00D6710A">
        <w:rPr>
          <w:b/>
          <w:bCs/>
          <w:vertAlign w:val="superscript"/>
        </w:rPr>
        <w:t>5</w:t>
      </w:r>
      <w:r w:rsidRPr="00D6710A">
        <w:t>, the Voluntary AI Safety Standard</w:t>
      </w:r>
      <w:r w:rsidRPr="00D6710A">
        <w:rPr>
          <w:b/>
          <w:bCs/>
          <w:vertAlign w:val="superscript"/>
        </w:rPr>
        <w:t>6</w:t>
      </w:r>
      <w:r w:rsidRPr="00D6710A">
        <w:t>, and the Therapeutic Goods Administration’s (TGA) Software as a Medical Device Framework</w:t>
      </w:r>
      <w:r w:rsidRPr="00D6710A">
        <w:rPr>
          <w:b/>
          <w:bCs/>
          <w:vertAlign w:val="superscript"/>
        </w:rPr>
        <w:t>7</w:t>
      </w:r>
      <w:r w:rsidRPr="00D6710A">
        <w:t xml:space="preserve">, provide important scaffolding but are not specifically designed for the ACCHO operating context. Existing guidance does not adequately embed Indigenous Data Sovereignty or Indigenous Data Governance as foundational principles. They also do not centre Community authority over health data, nor do they account for the workforce and resourcing realities of </w:t>
      </w:r>
      <w:r w:rsidR="008318D7">
        <w:t>C</w:t>
      </w:r>
      <w:r w:rsidR="008318D7" w:rsidRPr="00D6710A">
        <w:t>ommunity-</w:t>
      </w:r>
      <w:r w:rsidR="008318D7">
        <w:t>C</w:t>
      </w:r>
      <w:r w:rsidR="008318D7" w:rsidRPr="00D6710A">
        <w:t>ontrolled</w:t>
      </w:r>
      <w:r w:rsidRPr="00D6710A">
        <w:t xml:space="preserve"> Organisations. </w:t>
      </w:r>
    </w:p>
    <w:p w14:paraId="0B7ADE97" w14:textId="77777777" w:rsidR="001F05C9" w:rsidRPr="00D6710A" w:rsidRDefault="001F05C9" w:rsidP="008318D7">
      <w:pPr>
        <w:pStyle w:val="NACCHOtext"/>
      </w:pPr>
      <w:r w:rsidRPr="00D6710A">
        <w:t xml:space="preserve">A sector-led Framework adopted by individual ACCHOs is a step towards ensuring that any AI governance in Aboriginal and Torres Strait Islander health is led by the sector, not imposed on it. </w:t>
      </w:r>
    </w:p>
    <w:p w14:paraId="03BA0F2A" w14:textId="77777777" w:rsidR="001F05C9" w:rsidRPr="00D6710A" w:rsidRDefault="001F05C9" w:rsidP="008318D7">
      <w:pPr>
        <w:pStyle w:val="NACCHOtext"/>
      </w:pPr>
      <w:r w:rsidRPr="00D6710A">
        <w:t>AI tools are already in use across Australian primary care.</w:t>
      </w:r>
      <w:r w:rsidRPr="00D6710A">
        <w:rPr>
          <w:b/>
          <w:bCs/>
          <w:vertAlign w:val="superscript"/>
        </w:rPr>
        <w:t>1</w:t>
      </w:r>
      <w:r w:rsidRPr="00D6710A">
        <w:t xml:space="preserve"> Ambient scribes, clinical decision support, triage and intake systems, and administrative automation tools are already being deployed, often without the necessary governance to ensure clinical and cultural </w:t>
      </w:r>
      <w:r w:rsidRPr="00FB64CC">
        <w:t>safety, or accountability</w:t>
      </w:r>
      <w:r w:rsidRPr="00D6710A">
        <w:t xml:space="preserve"> when something goes wrong.</w:t>
      </w:r>
      <w:r w:rsidRPr="00D6710A">
        <w:rPr>
          <w:b/>
          <w:bCs/>
          <w:vertAlign w:val="superscript"/>
        </w:rPr>
        <w:t>2</w:t>
      </w:r>
    </w:p>
    <w:p w14:paraId="13E47C9A" w14:textId="77777777" w:rsidR="001F05C9" w:rsidRPr="00D6710A" w:rsidRDefault="001F05C9" w:rsidP="008318D7">
      <w:pPr>
        <w:pStyle w:val="NACCHOtext"/>
      </w:pPr>
      <w:r w:rsidRPr="00D6710A">
        <w:t>AI tools trained on non-representative datasets are likely to perform less reliably for Aboriginal and Torres Strait Islander patients, with documented evidence of algorithmic underperformance in priority populations.</w:t>
      </w:r>
      <w:r w:rsidRPr="00D6710A">
        <w:rPr>
          <w:b/>
          <w:bCs/>
          <w:vertAlign w:val="superscript"/>
        </w:rPr>
        <w:t>3</w:t>
      </w:r>
      <w:r w:rsidRPr="00D6710A">
        <w:t xml:space="preserve"> Data generated by ACCHO client interactions carries cultural, community, social and sovereignty obligations that do not apply uniformly across the broader health system.</w:t>
      </w:r>
      <w:r w:rsidRPr="00D6710A">
        <w:rPr>
          <w:vertAlign w:val="superscript"/>
        </w:rPr>
        <w:t>4</w:t>
      </w:r>
      <w:r w:rsidRPr="00D6710A">
        <w:t xml:space="preserve"> ACCHOs already hold deep expertise in culturally safe, community-governed care. The Framework builds on that strength, giving every Organisation a shared structure to assess and independently govern AI through an equity lens.</w:t>
      </w:r>
    </w:p>
    <w:p w14:paraId="3F8CD838" w14:textId="77777777" w:rsidR="001F05C9" w:rsidRPr="00D6710A" w:rsidRDefault="001F05C9" w:rsidP="008318D7">
      <w:pPr>
        <w:pStyle w:val="NACCHOtext"/>
      </w:pPr>
      <w:r w:rsidRPr="00D6710A">
        <w:t>This Framework sets out a common approach for the sector. It does not intend to mandate which AI tools an ACCHO can or cannot use. However, it does set out questions that every ACCHO should be able to answer about any AI tool it deploys, the principles those answers must satisfy, and the structural and cultural arrangements that need to be in place to safely govern the tool over its lifecycle.</w:t>
      </w:r>
    </w:p>
    <w:p w14:paraId="528E4C8C" w14:textId="7F9CDE42" w:rsidR="001F05C9" w:rsidRDefault="001F05C9" w:rsidP="008318D7">
      <w:pPr>
        <w:pStyle w:val="NACCHOtext"/>
      </w:pPr>
      <w:r w:rsidRPr="00D6710A">
        <w:t>The aim of the Framework is to achieve consistency, not uniformity. Two ACCHOs may reach different decisions about the same AI tool based on their patient population, their workforce and their community’s priorities and needs. The Framework does not override th</w:t>
      </w:r>
      <w:r>
        <w:t>is;</w:t>
      </w:r>
      <w:r w:rsidRPr="00D6710A">
        <w:t xml:space="preserve"> but rather seeks to ensure both Organisations are answering the same questions, against the same guidance, and supporting the Board to explain its decision-making to its community, regulators and patients</w:t>
      </w:r>
      <w:r w:rsidR="008318D7">
        <w:t>.</w:t>
      </w:r>
    </w:p>
    <w:p w14:paraId="3A9C6C6E" w14:textId="77777777" w:rsidR="008D638F" w:rsidRDefault="008D638F" w:rsidP="008318D7">
      <w:pPr>
        <w:pStyle w:val="NACCHOtext"/>
      </w:pPr>
    </w:p>
    <w:p w14:paraId="64C76E17" w14:textId="77777777" w:rsidR="008D638F" w:rsidRDefault="008D638F" w:rsidP="008318D7">
      <w:pPr>
        <w:pStyle w:val="NACCHOtext"/>
      </w:pPr>
    </w:p>
    <w:p w14:paraId="4A23807C" w14:textId="77777777" w:rsidR="008D638F" w:rsidRDefault="008D638F" w:rsidP="008318D7">
      <w:pPr>
        <w:pStyle w:val="NACCHOtext"/>
      </w:pPr>
    </w:p>
    <w:p w14:paraId="43CF7638" w14:textId="77777777" w:rsidR="008D638F" w:rsidRDefault="008D638F" w:rsidP="008318D7">
      <w:pPr>
        <w:pStyle w:val="NACCHOtext"/>
      </w:pPr>
    </w:p>
    <w:p w14:paraId="0BD52CDC" w14:textId="77777777" w:rsidR="002D2C82" w:rsidRPr="008E2C36" w:rsidRDefault="002D2C82" w:rsidP="002D2C82">
      <w:pPr>
        <w:pStyle w:val="Heading1"/>
        <w:spacing w:after="120"/>
        <w:rPr>
          <w:rFonts w:ascii="Arial" w:hAnsi="Arial" w:cs="Arial"/>
          <w:color w:val="002060"/>
        </w:rPr>
      </w:pPr>
      <w:bookmarkStart w:id="93" w:name="_Toc240894354"/>
      <w:bookmarkStart w:id="94" w:name="_Toc240897567"/>
      <w:bookmarkStart w:id="95" w:name="_Toc240956379"/>
      <w:bookmarkStart w:id="96" w:name="_Toc240956432"/>
      <w:bookmarkStart w:id="97" w:name="_Toc240960030"/>
      <w:r>
        <w:rPr>
          <w:rFonts w:ascii="Arial" w:hAnsi="Arial" w:cs="Arial"/>
          <w:color w:val="002060"/>
        </w:rPr>
        <w:lastRenderedPageBreak/>
        <w:t>3. Operating context</w:t>
      </w:r>
      <w:bookmarkEnd w:id="93"/>
      <w:bookmarkEnd w:id="94"/>
      <w:bookmarkEnd w:id="95"/>
      <w:bookmarkEnd w:id="96"/>
      <w:bookmarkEnd w:id="97"/>
    </w:p>
    <w:p w14:paraId="0C26B783" w14:textId="77777777" w:rsidR="002D2C82" w:rsidRPr="00574173" w:rsidRDefault="002D2C82" w:rsidP="002D2C82">
      <w:pPr>
        <w:pStyle w:val="Heading3"/>
        <w:spacing w:before="180"/>
        <w:rPr>
          <w:rFonts w:ascii="Arial" w:hAnsi="Arial" w:cs="Arial"/>
          <w:color w:val="4C59AB" w:themeColor="accent5" w:themeShade="BF"/>
          <w:sz w:val="28"/>
        </w:rPr>
      </w:pPr>
      <w:bookmarkStart w:id="98" w:name="_Toc240956380"/>
      <w:r w:rsidRPr="00574173">
        <w:rPr>
          <w:rFonts w:ascii="Arial" w:hAnsi="Arial" w:cs="Arial"/>
          <w:color w:val="4C59AB" w:themeColor="accent5" w:themeShade="BF"/>
        </w:rPr>
        <w:t>Regulatory and policy landscape</w:t>
      </w:r>
      <w:bookmarkEnd w:id="98"/>
    </w:p>
    <w:p w14:paraId="445AC9EC" w14:textId="77777777" w:rsidR="002D2C82" w:rsidRPr="003F51B9" w:rsidRDefault="002D2C82" w:rsidP="008318D7">
      <w:pPr>
        <w:pStyle w:val="NACCHOtext"/>
      </w:pPr>
      <w:r w:rsidRPr="003F51B9">
        <w:t>The Framework proposes to operate within a broader national policy environment for safe and high-quality healthcare delivery. The new National Model for Clinical Governance (NMCG)</w:t>
      </w:r>
      <w:r w:rsidRPr="003F51B9">
        <w:rPr>
          <w:b/>
          <w:bCs/>
          <w:vertAlign w:val="superscript"/>
        </w:rPr>
        <w:t>8</w:t>
      </w:r>
      <w:r w:rsidRPr="003F51B9">
        <w:t xml:space="preserve"> released by the Australian Commission on Safety and Quality in Health Care (the Commission) provides a foundational clinical governance architecture for Australian health services. The National Safety and Quality Digital Mental Health Standards (NSQDMH)</w:t>
      </w:r>
      <w:r w:rsidRPr="003F51B9">
        <w:rPr>
          <w:b/>
          <w:bCs/>
          <w:vertAlign w:val="superscript"/>
        </w:rPr>
        <w:t>9</w:t>
      </w:r>
      <w:r w:rsidRPr="003F51B9">
        <w:t xml:space="preserve"> sets sector-specific expectations for digital mental health services, including guidance on technical implementation. The Commission’s AI Clinical Use Guide</w:t>
      </w:r>
      <w:r w:rsidRPr="003F51B9">
        <w:rPr>
          <w:b/>
          <w:bCs/>
          <w:vertAlign w:val="superscript"/>
        </w:rPr>
        <w:t>10</w:t>
      </w:r>
      <w:r w:rsidRPr="003F51B9">
        <w:t xml:space="preserve"> offers practical guidance for clinicians, before, during, and after AI tool use. The guide is deliberately high level and general in its application. The absence of guidance specific to the ACCHO context is central to the requirement for a sector-led framework.</w:t>
      </w:r>
    </w:p>
    <w:p w14:paraId="6A013873" w14:textId="77777777" w:rsidR="002D2C82" w:rsidRPr="003F51B9" w:rsidRDefault="002D2C82" w:rsidP="008318D7">
      <w:pPr>
        <w:pStyle w:val="NACCHOtext"/>
      </w:pPr>
      <w:r w:rsidRPr="003F51B9">
        <w:t>Practitioner obligations set out by the Australian Health Practitioner Regulation Agency (</w:t>
      </w:r>
      <w:proofErr w:type="spellStart"/>
      <w:r w:rsidRPr="003F51B9">
        <w:t>Ahpra</w:t>
      </w:r>
      <w:proofErr w:type="spellEnd"/>
      <w:r w:rsidRPr="003F51B9">
        <w:t>), confirm that AI use does not alter existing professional accountabilities.</w:t>
      </w:r>
      <w:r w:rsidRPr="003F51B9">
        <w:rPr>
          <w:b/>
          <w:bCs/>
          <w:vertAlign w:val="superscript"/>
        </w:rPr>
        <w:t>11</w:t>
      </w:r>
      <w:r w:rsidRPr="003F51B9">
        <w:t xml:space="preserve"> This advice determines that </w:t>
      </w:r>
      <w:r w:rsidRPr="003F51B9">
        <w:rPr>
          <w:i/>
          <w:iCs/>
        </w:rPr>
        <w:t>“Practitioners must apply human judgment to any output of AI”</w:t>
      </w:r>
      <w:r w:rsidRPr="003F51B9">
        <w:t xml:space="preserve"> and that any AI-generated output entering a clinical record needs its accuracy tested by the clinician agreeing to it. </w:t>
      </w:r>
    </w:p>
    <w:p w14:paraId="4BDF8C30" w14:textId="77777777" w:rsidR="002D2C82" w:rsidRPr="003F51B9" w:rsidRDefault="002D2C82" w:rsidP="008318D7">
      <w:pPr>
        <w:pStyle w:val="NACCHOtext"/>
      </w:pPr>
      <w:r w:rsidRPr="003F51B9">
        <w:t>The TGA regulates AI tools that meet the threshold for a medical device under the Software as a Medical Device (SaMD) Regualtions.</w:t>
      </w:r>
      <w:r w:rsidRPr="003F51B9">
        <w:rPr>
          <w:b/>
          <w:bCs/>
          <w:vertAlign w:val="superscript"/>
        </w:rPr>
        <w:t>7</w:t>
      </w:r>
      <w:r w:rsidRPr="003F51B9">
        <w:t xml:space="preserve"> Boards, organisational leaders and clinicians should understand that a tool approved by the TGA does not mean professional and governance obligations no longer apply once that tool enters a clinical workflow. </w:t>
      </w:r>
    </w:p>
    <w:p w14:paraId="5A11E34E" w14:textId="77777777" w:rsidR="002D2C82" w:rsidRPr="003F51B9" w:rsidRDefault="002D2C82" w:rsidP="008318D7">
      <w:pPr>
        <w:pStyle w:val="NACCHOtext"/>
      </w:pPr>
      <w:r w:rsidRPr="003F51B9">
        <w:t xml:space="preserve">The </w:t>
      </w:r>
      <w:r w:rsidRPr="003F51B9">
        <w:rPr>
          <w:i/>
          <w:iCs/>
        </w:rPr>
        <w:t>Privacy Act 1988</w:t>
      </w:r>
      <w:r w:rsidRPr="003F51B9">
        <w:t xml:space="preserve"> and the Australian Privacy Principles set by the Office of the Australian Information Commissioner and covering the organisations to which the Act applies, are relevant to all patient data processed by AI tools.</w:t>
      </w:r>
      <w:r w:rsidRPr="003F51B9">
        <w:rPr>
          <w:b/>
          <w:bCs/>
          <w:vertAlign w:val="superscript"/>
        </w:rPr>
        <w:t>12</w:t>
      </w:r>
      <w:r w:rsidRPr="003F51B9">
        <w:t xml:space="preserve"> Cross-border data transfer engages Australian Privacy Principle 8 in particular, and the need to disclose and justify why data is transmitted and retained offshore to Australia. </w:t>
      </w:r>
    </w:p>
    <w:p w14:paraId="7B4A0751" w14:textId="77777777" w:rsidR="002D2C82" w:rsidRPr="002101E8" w:rsidRDefault="002D2C82" w:rsidP="008318D7">
      <w:pPr>
        <w:pStyle w:val="NACCHOtext"/>
        <w:rPr>
          <w:color w:val="001441" w:themeColor="text1"/>
        </w:rPr>
      </w:pPr>
      <w:r w:rsidRPr="003F51B9">
        <w:t>Baseline cyber security obligations are set by the Australian Signals Directorate's Essential Eight maturity model.</w:t>
      </w:r>
      <w:r w:rsidRPr="003F51B9">
        <w:rPr>
          <w:b/>
          <w:bCs/>
          <w:vertAlign w:val="superscript"/>
        </w:rPr>
        <w:t>13</w:t>
      </w:r>
      <w:r w:rsidRPr="003F51B9">
        <w:t xml:space="preserve"> Any AI tool that connects to a clinical information system or transmits patient data sits within this scope and should have processes in place to </w:t>
      </w:r>
      <w:r>
        <w:t>either?</w:t>
      </w:r>
      <w:r w:rsidRPr="003F51B9">
        <w:t xml:space="preserve"> justify or mitigate cross-border data sharing</w:t>
      </w:r>
      <w:r>
        <w:rPr>
          <w:color w:val="001441" w:themeColor="text1"/>
        </w:rPr>
        <w:t>.</w:t>
      </w:r>
    </w:p>
    <w:p w14:paraId="6207A26A" w14:textId="77777777" w:rsidR="002D2C82" w:rsidRPr="00574173" w:rsidRDefault="002D2C82" w:rsidP="002D2C82">
      <w:pPr>
        <w:pStyle w:val="Heading3"/>
        <w:spacing w:before="180"/>
        <w:rPr>
          <w:rFonts w:ascii="Arial" w:hAnsi="Arial" w:cs="Arial"/>
          <w:color w:val="4C59AB" w:themeColor="accent5" w:themeShade="BF"/>
          <w:sz w:val="28"/>
        </w:rPr>
      </w:pPr>
      <w:bookmarkStart w:id="99" w:name="_Toc240956381"/>
      <w:r w:rsidRPr="00574173">
        <w:rPr>
          <w:rFonts w:ascii="Arial" w:hAnsi="Arial" w:cs="Arial"/>
          <w:color w:val="4C59AB" w:themeColor="accent5" w:themeShade="BF"/>
        </w:rPr>
        <w:t>Indigenous Data Sovereignty and Governance</w:t>
      </w:r>
      <w:bookmarkEnd w:id="99"/>
    </w:p>
    <w:p w14:paraId="59EE9D3D" w14:textId="77777777" w:rsidR="002D2C82" w:rsidRPr="003F51B9" w:rsidRDefault="002D2C82" w:rsidP="008318D7">
      <w:pPr>
        <w:pStyle w:val="NACCHOtext"/>
      </w:pPr>
      <w:r w:rsidRPr="003F51B9">
        <w:t xml:space="preserve">The </w:t>
      </w:r>
      <w:proofErr w:type="spellStart"/>
      <w:r w:rsidRPr="003F51B9">
        <w:t>Maiam</w:t>
      </w:r>
      <w:proofErr w:type="spellEnd"/>
      <w:r w:rsidRPr="003F51B9">
        <w:t xml:space="preserve"> </w:t>
      </w:r>
      <w:proofErr w:type="spellStart"/>
      <w:r w:rsidRPr="003F51B9">
        <w:t>nayri</w:t>
      </w:r>
      <w:proofErr w:type="spellEnd"/>
      <w:r w:rsidRPr="003F51B9">
        <w:t xml:space="preserve"> </w:t>
      </w:r>
      <w:proofErr w:type="spellStart"/>
      <w:r w:rsidRPr="003F51B9">
        <w:t>Wingara</w:t>
      </w:r>
      <w:proofErr w:type="spellEnd"/>
      <w:r w:rsidRPr="003F51B9">
        <w:t xml:space="preserve"> Indigenous Data Sovereignty principles</w:t>
      </w:r>
      <w:r w:rsidRPr="003F51B9">
        <w:rPr>
          <w:b/>
          <w:bCs/>
          <w:vertAlign w:val="superscript"/>
        </w:rPr>
        <w:t>15</w:t>
      </w:r>
      <w:r w:rsidRPr="003F51B9">
        <w:t xml:space="preserve"> set out the foundational position: data about Aboriginal and Torres Strait Islander people is the property of Aboriginal and Torres Strait Islander people. Indigenous Data Sovereignty is expressed differently across communities, reflecting local priorities and preferences, and specific requirements might need to be considered at the service delivery or community-led level. </w:t>
      </w:r>
    </w:p>
    <w:p w14:paraId="32131A1B" w14:textId="77777777" w:rsidR="002D2C82" w:rsidRPr="00574173" w:rsidRDefault="002D2C82" w:rsidP="002D2C82">
      <w:pPr>
        <w:pStyle w:val="Heading3"/>
        <w:spacing w:before="180"/>
        <w:rPr>
          <w:rFonts w:ascii="Arial" w:hAnsi="Arial" w:cs="Arial"/>
          <w:color w:val="4C59AB" w:themeColor="accent5" w:themeShade="BF"/>
        </w:rPr>
      </w:pPr>
      <w:bookmarkStart w:id="100" w:name="_Toc240956382"/>
      <w:r w:rsidRPr="00574173">
        <w:rPr>
          <w:rFonts w:ascii="Arial" w:hAnsi="Arial" w:cs="Arial"/>
          <w:color w:val="4C59AB" w:themeColor="accent5" w:themeShade="BF"/>
        </w:rPr>
        <w:t>When Indigenous Data Sovereignty cannot be fully realised</w:t>
      </w:r>
      <w:bookmarkEnd w:id="100"/>
    </w:p>
    <w:p w14:paraId="21DD5BB2" w14:textId="77777777" w:rsidR="002D2C82" w:rsidRDefault="002D2C82" w:rsidP="008318D7">
      <w:pPr>
        <w:pStyle w:val="NACCHOtext"/>
      </w:pPr>
      <w:r>
        <w:t>While Indigenous Data Sovereignty and Indigenous Data Governance are foundational to this framework, there may be circumstances where they cannot be fully realised. The most common might include:</w:t>
      </w:r>
    </w:p>
    <w:p w14:paraId="441385FE" w14:textId="77777777" w:rsidR="002D2C82" w:rsidRDefault="002D2C82" w:rsidP="005766E8">
      <w:pPr>
        <w:pStyle w:val="Bullets1"/>
      </w:pPr>
      <w:r>
        <w:t>vendor refusal to disclose training data provenance, global models trained on data the Organisation cannot control retrospectively</w:t>
      </w:r>
    </w:p>
    <w:p w14:paraId="3C08424E" w14:textId="77777777" w:rsidR="002D2C82" w:rsidRPr="008E2C36" w:rsidRDefault="002D2C82" w:rsidP="005766E8">
      <w:pPr>
        <w:pStyle w:val="Bullets1"/>
      </w:pPr>
      <w:r>
        <w:t>the absence of a sovereignty-compliant equivalent for a clinical capability the community needs.</w:t>
      </w:r>
    </w:p>
    <w:p w14:paraId="23E48CCB" w14:textId="77777777" w:rsidR="002D2C82" w:rsidRDefault="002D2C82" w:rsidP="005766E8">
      <w:pPr>
        <w:pStyle w:val="NACCHOtext"/>
      </w:pPr>
      <w:r>
        <w:t>Where this happens, the Organisation may choose to document the gap, the clinical or operational reason for accepting it, the mitigations in place (including community determination on the trade-off), and the conditions under which the decision will be reviewed. Accepting a gap should be a Board decision and should ideally be recorded against the tool in an organisation’s AI Tools Register.</w:t>
      </w:r>
    </w:p>
    <w:p w14:paraId="11FA1526" w14:textId="77777777" w:rsidR="002D2C82" w:rsidRPr="00574173" w:rsidRDefault="002D2C82" w:rsidP="002D2C82">
      <w:pPr>
        <w:pStyle w:val="Heading3"/>
        <w:spacing w:before="180"/>
        <w:rPr>
          <w:rFonts w:ascii="Arial" w:hAnsi="Arial" w:cs="Arial"/>
          <w:color w:val="4C59AB" w:themeColor="accent5" w:themeShade="BF"/>
        </w:rPr>
      </w:pPr>
      <w:bookmarkStart w:id="101" w:name="_Toc240956383"/>
      <w:r w:rsidRPr="00574173">
        <w:rPr>
          <w:rFonts w:ascii="Arial" w:hAnsi="Arial" w:cs="Arial"/>
          <w:color w:val="4C59AB" w:themeColor="accent5" w:themeShade="BF"/>
        </w:rPr>
        <w:lastRenderedPageBreak/>
        <w:t>International alignment</w:t>
      </w:r>
      <w:bookmarkEnd w:id="101"/>
    </w:p>
    <w:p w14:paraId="420A1EA2" w14:textId="77777777" w:rsidR="002D2C82" w:rsidRPr="003F51B9" w:rsidRDefault="002D2C82" w:rsidP="005766E8">
      <w:pPr>
        <w:pStyle w:val="NACCHOtext"/>
      </w:pPr>
      <w:r w:rsidRPr="003F51B9">
        <w:t>Internationally, the Framework draws on the NIST AI Risk Management Framework</w:t>
      </w:r>
      <w:r w:rsidRPr="003F51B9">
        <w:rPr>
          <w:b/>
          <w:bCs/>
          <w:vertAlign w:val="superscript"/>
        </w:rPr>
        <w:t>16</w:t>
      </w:r>
      <w:r w:rsidRPr="003F51B9">
        <w:t>, the European Union Artificial Intelligence Act</w:t>
      </w:r>
      <w:r w:rsidRPr="003F51B9">
        <w:rPr>
          <w:b/>
          <w:bCs/>
          <w:vertAlign w:val="superscript"/>
        </w:rPr>
        <w:t>17</w:t>
      </w:r>
      <w:r w:rsidRPr="003F51B9">
        <w:t>, ISO/IEC 42001:2023 (AI Management Systems)</w:t>
      </w:r>
      <w:r w:rsidRPr="003F51B9">
        <w:rPr>
          <w:b/>
          <w:bCs/>
          <w:vertAlign w:val="superscript"/>
        </w:rPr>
        <w:t>18</w:t>
      </w:r>
      <w:r w:rsidRPr="003F51B9">
        <w:t>, and the World Health Organi</w:t>
      </w:r>
      <w:r>
        <w:t>s</w:t>
      </w:r>
      <w:r w:rsidRPr="003F51B9">
        <w:t>ation's guidance on the ethics and governance of AI for health.</w:t>
      </w:r>
      <w:r w:rsidRPr="003F51B9">
        <w:rPr>
          <w:b/>
          <w:bCs/>
          <w:vertAlign w:val="superscript"/>
        </w:rPr>
        <w:t>19</w:t>
      </w:r>
      <w:r w:rsidRPr="003F51B9">
        <w:t xml:space="preserve"> The Framework's domains and foundational principles are consistent with these instruments while remaining grounded in the ACCHO context. </w:t>
      </w:r>
    </w:p>
    <w:p w14:paraId="6C72584D" w14:textId="1945FFCD" w:rsidR="00CA09C4" w:rsidRDefault="002D2C82" w:rsidP="005766E8">
      <w:pPr>
        <w:pStyle w:val="NACCHOtext"/>
      </w:pPr>
      <w:r w:rsidRPr="003F51B9">
        <w:t xml:space="preserve">First Nations-led work in Aotearoa New Zealand and Canada described Indigenous Data Sovereignty and Governance principles, including </w:t>
      </w:r>
      <w:proofErr w:type="spellStart"/>
      <w:r w:rsidRPr="003F51B9">
        <w:t>Te</w:t>
      </w:r>
      <w:proofErr w:type="spellEnd"/>
      <w:r w:rsidRPr="003F51B9">
        <w:t xml:space="preserve"> </w:t>
      </w:r>
      <w:proofErr w:type="spellStart"/>
      <w:r w:rsidRPr="003F51B9">
        <w:t>Kāhui</w:t>
      </w:r>
      <w:proofErr w:type="spellEnd"/>
      <w:r w:rsidRPr="003F51B9">
        <w:t xml:space="preserve"> </w:t>
      </w:r>
      <w:proofErr w:type="spellStart"/>
      <w:r w:rsidRPr="003F51B9">
        <w:t>Raraunga’s</w:t>
      </w:r>
      <w:proofErr w:type="spellEnd"/>
      <w:r w:rsidRPr="003F51B9">
        <w:t xml:space="preserve"> Māori Data Governance Model</w:t>
      </w:r>
      <w:r w:rsidRPr="003F51B9">
        <w:rPr>
          <w:b/>
          <w:bCs/>
          <w:vertAlign w:val="superscript"/>
        </w:rPr>
        <w:t>20</w:t>
      </w:r>
      <w:r w:rsidRPr="003F51B9">
        <w:t xml:space="preserve"> and the First Nations Information Governance Centre’s OCAP® principles.</w:t>
      </w:r>
      <w:r w:rsidRPr="003F51B9">
        <w:rPr>
          <w:b/>
          <w:bCs/>
          <w:vertAlign w:val="superscript"/>
        </w:rPr>
        <w:t>21</w:t>
      </w:r>
      <w:r w:rsidRPr="003F51B9">
        <w:t xml:space="preserve"> Subsequent versions of this Framework will be checked for consistency with these documents for any developments that might align directly to the Aboriginal and Torres Strait Islander context.</w:t>
      </w:r>
    </w:p>
    <w:p w14:paraId="1F9C6D14" w14:textId="77777777" w:rsidR="00A0148D" w:rsidRDefault="00A0148D" w:rsidP="005766E8">
      <w:pPr>
        <w:pStyle w:val="NACCHOtext"/>
      </w:pPr>
    </w:p>
    <w:p w14:paraId="2F79C7CC" w14:textId="77777777" w:rsidR="007E1B15" w:rsidRDefault="007E1B15" w:rsidP="000C19DE">
      <w:pPr>
        <w:pStyle w:val="Heading3"/>
        <w:spacing w:before="180"/>
        <w:rPr>
          <w:rFonts w:ascii="Arial" w:hAnsi="Arial" w:cs="Arial"/>
          <w:color w:val="4C59AB" w:themeColor="accent5" w:themeShade="BF"/>
        </w:rPr>
        <w:sectPr w:rsidR="007E1B15" w:rsidSect="00336CB3">
          <w:headerReference w:type="even" r:id="rId18"/>
          <w:headerReference w:type="default" r:id="rId19"/>
          <w:footerReference w:type="even" r:id="rId20"/>
          <w:footerReference w:type="default" r:id="rId21"/>
          <w:headerReference w:type="first" r:id="rId22"/>
          <w:footerReference w:type="first" r:id="rId23"/>
          <w:pgSz w:w="11900" w:h="16840"/>
          <w:pgMar w:top="1021" w:right="1134" w:bottom="1418" w:left="1134" w:header="567" w:footer="454" w:gutter="0"/>
          <w:cols w:space="708"/>
          <w:titlePg/>
          <w:docGrid w:linePitch="360"/>
        </w:sectPr>
      </w:pPr>
      <w:bookmarkStart w:id="102" w:name="_Toc238474898"/>
      <w:bookmarkStart w:id="103" w:name="_Toc238475811"/>
      <w:bookmarkStart w:id="104" w:name="_Toc238562129"/>
      <w:bookmarkStart w:id="105" w:name="_Toc238564207"/>
      <w:bookmarkStart w:id="106" w:name="_Toc239257312"/>
      <w:bookmarkStart w:id="107" w:name="_Toc239257415"/>
      <w:bookmarkStart w:id="108" w:name="_Toc239257516"/>
    </w:p>
    <w:p w14:paraId="564929C0" w14:textId="0ECF363A" w:rsidR="000C19DE" w:rsidRPr="00574173" w:rsidRDefault="00B42DF6" w:rsidP="000C19DE">
      <w:pPr>
        <w:pStyle w:val="Heading3"/>
        <w:spacing w:before="180"/>
        <w:rPr>
          <w:rFonts w:ascii="Arial" w:hAnsi="Arial" w:cs="Arial"/>
          <w:color w:val="4C59AB" w:themeColor="accent5" w:themeShade="BF"/>
        </w:rPr>
      </w:pPr>
      <w:bookmarkStart w:id="109" w:name="_Toc240956384"/>
      <w:r w:rsidRPr="00574173">
        <w:rPr>
          <w:noProof/>
        </w:rPr>
        <w:lastRenderedPageBreak/>
        <mc:AlternateContent>
          <mc:Choice Requires="wps">
            <w:drawing>
              <wp:anchor distT="45720" distB="45720" distL="114300" distR="114300" simplePos="0" relativeHeight="251658241" behindDoc="0" locked="0" layoutInCell="1" allowOverlap="1" wp14:anchorId="10226F66" wp14:editId="3E600552">
                <wp:simplePos x="0" y="0"/>
                <wp:positionH relativeFrom="column">
                  <wp:posOffset>3070860</wp:posOffset>
                </wp:positionH>
                <wp:positionV relativeFrom="paragraph">
                  <wp:posOffset>243840</wp:posOffset>
                </wp:positionV>
                <wp:extent cx="3055620" cy="5724525"/>
                <wp:effectExtent l="0" t="0" r="1143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5620" cy="5724525"/>
                        </a:xfrm>
                        <a:prstGeom prst="rect">
                          <a:avLst/>
                        </a:prstGeom>
                        <a:solidFill>
                          <a:srgbClr val="FFFFFF"/>
                        </a:solidFill>
                        <a:ln w="9525">
                          <a:solidFill>
                            <a:srgbClr val="0070C0"/>
                          </a:solidFill>
                          <a:miter lim="800000"/>
                          <a:headEnd/>
                          <a:tailEnd/>
                        </a:ln>
                      </wps:spPr>
                      <wps:txbx>
                        <w:txbxContent>
                          <w:p w14:paraId="2D4BFFEC" w14:textId="77777777" w:rsidR="000C19DE" w:rsidRPr="006D1A14" w:rsidRDefault="000C19DE" w:rsidP="000C19DE">
                            <w:pPr>
                              <w:rPr>
                                <w:rFonts w:ascii="Arial" w:hAnsi="Arial" w:cs="Arial"/>
                              </w:rPr>
                            </w:pPr>
                            <w:r w:rsidRPr="006D1A14">
                              <w:rPr>
                                <w:rFonts w:ascii="Arial" w:hAnsi="Arial" w:cs="Arial"/>
                                <w:b/>
                                <w:bCs/>
                              </w:rPr>
                              <w:t>The AI6 and cultural safety for ACCHOs</w:t>
                            </w:r>
                          </w:p>
                          <w:p w14:paraId="57A5D1A8" w14:textId="36FC660F" w:rsidR="000C19DE" w:rsidRPr="006D1A14" w:rsidRDefault="000C19DE" w:rsidP="000C19DE">
                            <w:pPr>
                              <w:rPr>
                                <w:rFonts w:ascii="Arial" w:hAnsi="Arial" w:cs="Arial"/>
                              </w:rPr>
                            </w:pPr>
                            <w:r w:rsidRPr="006D1A14">
                              <w:rPr>
                                <w:rFonts w:ascii="Arial" w:hAnsi="Arial" w:cs="Arial"/>
                              </w:rPr>
                              <w:t xml:space="preserve">The National AI Centre's six essential practices (the </w:t>
                            </w:r>
                            <w:r w:rsidRPr="00841B7C">
                              <w:rPr>
                                <w:rFonts w:ascii="Arial" w:hAnsi="Arial" w:cs="Arial"/>
                                <w:i/>
                                <w:iCs/>
                              </w:rPr>
                              <w:t>AI6</w:t>
                            </w:r>
                            <w:r w:rsidRPr="006D1A14">
                              <w:rPr>
                                <w:rFonts w:ascii="Arial" w:hAnsi="Arial" w:cs="Arial"/>
                              </w:rPr>
                              <w:t>)</w:t>
                            </w:r>
                            <w:r w:rsidRPr="00D3747B">
                              <w:rPr>
                                <w:rFonts w:ascii="Arial" w:hAnsi="Arial" w:cs="Arial"/>
                                <w:vertAlign w:val="superscript"/>
                              </w:rPr>
                              <w:t>22</w:t>
                            </w:r>
                            <w:r w:rsidRPr="006D1A14">
                              <w:rPr>
                                <w:rFonts w:ascii="Arial" w:hAnsi="Arial" w:cs="Arial"/>
                              </w:rPr>
                              <w:t xml:space="preserve"> set </w:t>
                            </w:r>
                            <w:r>
                              <w:rPr>
                                <w:rFonts w:ascii="Arial" w:hAnsi="Arial" w:cs="Arial"/>
                              </w:rPr>
                              <w:t>a</w:t>
                            </w:r>
                            <w:r w:rsidRPr="006D1A14">
                              <w:rPr>
                                <w:rFonts w:ascii="Arial" w:hAnsi="Arial" w:cs="Arial"/>
                              </w:rPr>
                              <w:t xml:space="preserve"> national baseline for governing AI. This framework meets that </w:t>
                            </w:r>
                            <w:r w:rsidR="002D2C82" w:rsidRPr="006D1A14">
                              <w:rPr>
                                <w:rFonts w:ascii="Arial" w:hAnsi="Arial" w:cs="Arial"/>
                              </w:rPr>
                              <w:t>baseline</w:t>
                            </w:r>
                            <w:r w:rsidR="002D2C82">
                              <w:rPr>
                                <w:rFonts w:ascii="Arial" w:hAnsi="Arial" w:cs="Arial"/>
                              </w:rPr>
                              <w:t xml:space="preserve"> and</w:t>
                            </w:r>
                            <w:r>
                              <w:rPr>
                                <w:rFonts w:ascii="Arial" w:hAnsi="Arial" w:cs="Arial"/>
                              </w:rPr>
                              <w:t xml:space="preserve"> extends it </w:t>
                            </w:r>
                            <w:r w:rsidRPr="006D1A14">
                              <w:rPr>
                                <w:rFonts w:ascii="Arial" w:hAnsi="Arial" w:cs="Arial"/>
                              </w:rPr>
                              <w:t xml:space="preserve">because governing AI in Aboriginal Community Controlled health carries obligations the </w:t>
                            </w:r>
                            <w:r>
                              <w:rPr>
                                <w:rFonts w:ascii="Arial" w:hAnsi="Arial" w:cs="Arial"/>
                              </w:rPr>
                              <w:t xml:space="preserve">beyond the </w:t>
                            </w:r>
                            <w:r w:rsidRPr="006D1A14">
                              <w:rPr>
                                <w:rFonts w:ascii="Arial" w:hAnsi="Arial" w:cs="Arial"/>
                              </w:rPr>
                              <w:t>national guidance</w:t>
                            </w:r>
                            <w:r>
                              <w:rPr>
                                <w:rFonts w:ascii="Arial" w:hAnsi="Arial" w:cs="Arial"/>
                              </w:rPr>
                              <w:t>. Essential practices updated for the ACCHO Sector include:</w:t>
                            </w:r>
                          </w:p>
                          <w:p w14:paraId="0F68FA78" w14:textId="77777777" w:rsidR="000C19DE" w:rsidRPr="006D1A14" w:rsidRDefault="000C19DE" w:rsidP="000C19DE">
                            <w:pPr>
                              <w:numPr>
                                <w:ilvl w:val="0"/>
                                <w:numId w:val="15"/>
                              </w:numPr>
                              <w:tabs>
                                <w:tab w:val="clear" w:pos="284"/>
                                <w:tab w:val="clear" w:pos="567"/>
                                <w:tab w:val="clear" w:pos="851"/>
                              </w:tabs>
                              <w:spacing w:line="240" w:lineRule="auto"/>
                              <w:rPr>
                                <w:rFonts w:ascii="Arial" w:hAnsi="Arial" w:cs="Arial"/>
                              </w:rPr>
                            </w:pPr>
                            <w:r w:rsidRPr="00574173">
                              <w:rPr>
                                <w:rFonts w:ascii="Arial" w:hAnsi="Arial" w:cs="Arial"/>
                                <w:b/>
                                <w:bCs/>
                                <w:color w:val="4C59AB" w:themeColor="accent5" w:themeShade="BF"/>
                              </w:rPr>
                              <w:t>Deciding who is accountable.</w:t>
                            </w:r>
                            <w:r w:rsidRPr="00574173">
                              <w:rPr>
                                <w:rFonts w:ascii="Arial" w:hAnsi="Arial" w:cs="Arial"/>
                                <w:color w:val="4C59AB" w:themeColor="accent5" w:themeShade="BF"/>
                                <w:sz w:val="24"/>
                              </w:rPr>
                              <w:t xml:space="preserve"> </w:t>
                            </w:r>
                            <w:r w:rsidRPr="006D1A14">
                              <w:rPr>
                                <w:rFonts w:ascii="Arial" w:hAnsi="Arial" w:cs="Arial"/>
                              </w:rPr>
                              <w:t>Accountability sits with the ACCHO and its community, not the vendor. It can't be contracted away.</w:t>
                            </w:r>
                          </w:p>
                          <w:p w14:paraId="495D784D" w14:textId="77777777" w:rsidR="000C19DE" w:rsidRPr="006D1A14" w:rsidRDefault="000C19DE" w:rsidP="000C19DE">
                            <w:pPr>
                              <w:numPr>
                                <w:ilvl w:val="0"/>
                                <w:numId w:val="15"/>
                              </w:numPr>
                              <w:tabs>
                                <w:tab w:val="clear" w:pos="284"/>
                                <w:tab w:val="clear" w:pos="567"/>
                                <w:tab w:val="clear" w:pos="851"/>
                              </w:tabs>
                              <w:spacing w:line="240" w:lineRule="auto"/>
                              <w:rPr>
                                <w:rFonts w:ascii="Arial" w:hAnsi="Arial" w:cs="Arial"/>
                              </w:rPr>
                            </w:pPr>
                            <w:r w:rsidRPr="00574173">
                              <w:rPr>
                                <w:rFonts w:ascii="Arial" w:hAnsi="Arial" w:cs="Arial"/>
                                <w:b/>
                                <w:bCs/>
                                <w:color w:val="4C59AB" w:themeColor="accent5" w:themeShade="BF"/>
                              </w:rPr>
                              <w:t>Understanding impacts and plan.</w:t>
                            </w:r>
                            <w:r w:rsidRPr="00574173">
                              <w:rPr>
                                <w:rFonts w:ascii="Arial" w:hAnsi="Arial" w:cs="Arial"/>
                                <w:color w:val="4C59AB" w:themeColor="accent5" w:themeShade="BF"/>
                              </w:rPr>
                              <w:t xml:space="preserve"> </w:t>
                            </w:r>
                            <w:r w:rsidRPr="006D1A14">
                              <w:rPr>
                                <w:rFonts w:ascii="Arial" w:hAnsi="Arial" w:cs="Arial"/>
                              </w:rPr>
                              <w:t>Impact assessment includes cultural safety and the risk of widening, not narrowing, the gap in access and outcomes.</w:t>
                            </w:r>
                          </w:p>
                          <w:p w14:paraId="21DD1058" w14:textId="77777777" w:rsidR="000C19DE" w:rsidRPr="006D1A14" w:rsidRDefault="000C19DE" w:rsidP="000C19DE">
                            <w:pPr>
                              <w:numPr>
                                <w:ilvl w:val="0"/>
                                <w:numId w:val="15"/>
                              </w:numPr>
                              <w:tabs>
                                <w:tab w:val="clear" w:pos="284"/>
                                <w:tab w:val="clear" w:pos="567"/>
                                <w:tab w:val="clear" w:pos="851"/>
                              </w:tabs>
                              <w:spacing w:line="240" w:lineRule="auto"/>
                              <w:rPr>
                                <w:rFonts w:ascii="Arial" w:hAnsi="Arial" w:cs="Arial"/>
                              </w:rPr>
                            </w:pPr>
                            <w:r w:rsidRPr="00574173">
                              <w:rPr>
                                <w:rFonts w:ascii="Arial" w:hAnsi="Arial" w:cs="Arial"/>
                                <w:b/>
                                <w:bCs/>
                                <w:color w:val="4C59AB" w:themeColor="accent5" w:themeShade="BF"/>
                              </w:rPr>
                              <w:t>Measuring and managing risks.</w:t>
                            </w:r>
                            <w:r w:rsidRPr="00574173">
                              <w:rPr>
                                <w:rFonts w:ascii="Arial" w:hAnsi="Arial" w:cs="Arial"/>
                                <w:color w:val="4C59AB" w:themeColor="accent5" w:themeShade="BF"/>
                              </w:rPr>
                              <w:t xml:space="preserve">  </w:t>
                            </w:r>
                            <w:r w:rsidRPr="006D1A14">
                              <w:rPr>
                                <w:rFonts w:ascii="Arial" w:hAnsi="Arial" w:cs="Arial"/>
                              </w:rPr>
                              <w:t>Risk includes harm to cultural knowledge, not only clinical or operational harm.</w:t>
                            </w:r>
                          </w:p>
                          <w:p w14:paraId="38C8C8CD" w14:textId="77777777" w:rsidR="000C19DE" w:rsidRPr="006D1A14" w:rsidRDefault="000C19DE" w:rsidP="000C19DE">
                            <w:pPr>
                              <w:numPr>
                                <w:ilvl w:val="0"/>
                                <w:numId w:val="15"/>
                              </w:numPr>
                              <w:tabs>
                                <w:tab w:val="clear" w:pos="284"/>
                                <w:tab w:val="clear" w:pos="567"/>
                                <w:tab w:val="clear" w:pos="851"/>
                              </w:tabs>
                              <w:spacing w:line="240" w:lineRule="auto"/>
                              <w:rPr>
                                <w:rFonts w:ascii="Arial" w:hAnsi="Arial" w:cs="Arial"/>
                              </w:rPr>
                            </w:pPr>
                            <w:r w:rsidRPr="00574173">
                              <w:rPr>
                                <w:rFonts w:ascii="Arial" w:hAnsi="Arial" w:cs="Arial"/>
                                <w:b/>
                                <w:bCs/>
                                <w:color w:val="4C59AB" w:themeColor="accent5" w:themeShade="BF"/>
                              </w:rPr>
                              <w:t>Sharing essential information.</w:t>
                            </w:r>
                            <w:r w:rsidRPr="00574173">
                              <w:rPr>
                                <w:rFonts w:ascii="Arial" w:hAnsi="Arial" w:cs="Arial"/>
                                <w:color w:val="4C59AB" w:themeColor="accent5" w:themeShade="BF"/>
                              </w:rPr>
                              <w:t xml:space="preserve"> </w:t>
                            </w:r>
                            <w:r w:rsidRPr="006D1A14">
                              <w:rPr>
                                <w:rFonts w:ascii="Arial" w:hAnsi="Arial" w:cs="Arial"/>
                              </w:rPr>
                              <w:t>Transparency means community-facing, in language where needed, and available before care, not buried in a policy.</w:t>
                            </w:r>
                          </w:p>
                          <w:p w14:paraId="09CC293B" w14:textId="77777777" w:rsidR="000C19DE" w:rsidRPr="006D1A14" w:rsidRDefault="000C19DE" w:rsidP="000C19DE">
                            <w:pPr>
                              <w:numPr>
                                <w:ilvl w:val="0"/>
                                <w:numId w:val="15"/>
                              </w:numPr>
                              <w:tabs>
                                <w:tab w:val="clear" w:pos="284"/>
                                <w:tab w:val="clear" w:pos="567"/>
                                <w:tab w:val="clear" w:pos="851"/>
                              </w:tabs>
                              <w:spacing w:line="240" w:lineRule="auto"/>
                              <w:rPr>
                                <w:rFonts w:ascii="Arial" w:hAnsi="Arial" w:cs="Arial"/>
                              </w:rPr>
                            </w:pPr>
                            <w:r w:rsidRPr="00574173">
                              <w:rPr>
                                <w:rFonts w:ascii="Arial" w:hAnsi="Arial" w:cs="Arial"/>
                                <w:b/>
                                <w:bCs/>
                                <w:color w:val="4C59AB" w:themeColor="accent5" w:themeShade="BF"/>
                              </w:rPr>
                              <w:t>Testing and monitoring.</w:t>
                            </w:r>
                            <w:r w:rsidRPr="00574173">
                              <w:rPr>
                                <w:rFonts w:ascii="Arial" w:hAnsi="Arial" w:cs="Arial"/>
                                <w:color w:val="4C59AB" w:themeColor="accent5" w:themeShade="BF"/>
                              </w:rPr>
                              <w:t xml:space="preserve"> </w:t>
                            </w:r>
                            <w:r w:rsidRPr="006D1A14">
                              <w:rPr>
                                <w:rFonts w:ascii="Arial" w:hAnsi="Arial" w:cs="Arial"/>
                              </w:rPr>
                              <w:t>Testing includes whether training data represents Aboriginal and Torres Strait Islander people, the loudest signal from the sector consultation.</w:t>
                            </w:r>
                          </w:p>
                          <w:p w14:paraId="78567E38" w14:textId="77777777" w:rsidR="000C19DE" w:rsidRPr="006D1A14" w:rsidRDefault="000C19DE" w:rsidP="000C19DE">
                            <w:pPr>
                              <w:numPr>
                                <w:ilvl w:val="0"/>
                                <w:numId w:val="15"/>
                              </w:numPr>
                              <w:tabs>
                                <w:tab w:val="clear" w:pos="284"/>
                                <w:tab w:val="clear" w:pos="567"/>
                                <w:tab w:val="clear" w:pos="851"/>
                              </w:tabs>
                              <w:spacing w:after="0" w:line="240" w:lineRule="auto"/>
                              <w:rPr>
                                <w:rFonts w:ascii="Arial" w:hAnsi="Arial" w:cs="Arial"/>
                              </w:rPr>
                            </w:pPr>
                            <w:r w:rsidRPr="00574173">
                              <w:rPr>
                                <w:rFonts w:ascii="Arial" w:hAnsi="Arial" w:cs="Arial"/>
                                <w:b/>
                                <w:bCs/>
                                <w:color w:val="4C59AB" w:themeColor="accent5" w:themeShade="BF"/>
                              </w:rPr>
                              <w:t>Maintaining human control.</w:t>
                            </w:r>
                            <w:r w:rsidRPr="00574173">
                              <w:rPr>
                                <w:rFonts w:ascii="Arial" w:hAnsi="Arial" w:cs="Arial"/>
                                <w:color w:val="4C59AB" w:themeColor="accent5" w:themeShade="BF"/>
                              </w:rPr>
                              <w:t xml:space="preserve"> </w:t>
                            </w:r>
                            <w:r w:rsidRPr="006D1A14">
                              <w:rPr>
                                <w:rFonts w:ascii="Arial" w:hAnsi="Arial" w:cs="Arial"/>
                              </w:rPr>
                              <w:t>Human judgement is a foundational principle here. AI supports the clinician, the manager and the Board, it doesn't replace them.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226F66" id="_x0000_t202" coordsize="21600,21600" o:spt="202" path="m,l,21600r21600,l21600,xe">
                <v:stroke joinstyle="miter"/>
                <v:path gradientshapeok="t" o:connecttype="rect"/>
              </v:shapetype>
              <v:shape id="Text Box 2" o:spid="_x0000_s1026" type="#_x0000_t202" style="position:absolute;margin-left:241.8pt;margin-top:19.2pt;width:240.6pt;height:450.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sXFAIAACAEAAAOAAAAZHJzL2Uyb0RvYy54bWysU9tu2zAMfR+wfxD0vtjJkl6MOEWXLsOA&#10;7gJ0+wBFlmNhsqhRSuzs60vJbppuwB6G6UEQRemQPDxc3vStYQeFXoMt+XSSc6ashErbXcm/f9u8&#10;ueLMB2ErYcCqkh+V5zer16+WnSvUDBowlUJGINYXnSt5E4IrsszLRrXCT8ApS84asBWBTNxlFYqO&#10;0FuTzfL8IusAK4cglfd0ezc4+Srh17WS4UtdexWYKTnlFtKOad/GPVstRbFD4RotxzTEP2TRCm0p&#10;6AnqTgTB9qj/gGq1RPBQh4mENoO61lKlGqiaaf5bNQ+NcCrVQuR4d6LJ/z9Y+fnw4L4iC/076KmB&#10;qQjv7kH+8MzCuhF2p24RoWuUqCjwNFKWdc4X49dItS98BNl2n6CiJot9gATU19hGVqhORujUgOOJ&#10;dNUHJunybb5YXMzIJcm3uJzNF7NFiiGKp+8OffigoGXxUHKkriZ4cbj3IaYjiqcnMZoHo6uNNiYZ&#10;uNuuDbKDIAVs0hrRXzwzlnUlv46x/w6R55f5OumGor6AaHUgKRvdlvwqj2sQV+Ttva2S0ILQZjjT&#10;Z2NHIiN3A4uh3/b0MBK6hepIlCIMkqURo0MD+IuzjuRacv9zL1BxZj5aasv1dD6P+k7GnGgkA889&#10;23OPsJKgSh44G47rkGYilm7hltpX60TscyZjriTDxPc4MlHn53Z69TzYq0cAAAD//wMAUEsDBBQA&#10;BgAIAAAAIQAkonii4AAAAAoBAAAPAAAAZHJzL2Rvd25yZXYueG1sTI9NS8QwEIbvgv8hjODNTdeW&#10;2Namix8IIsjiVjxnm7Gt5qM02W733zue9DbDPLzzvNVmsYbNOIXBOwnrVQIMXev14DoJ783TVQ4s&#10;ROW0Mt6hhBMG2NTnZ5UqtT+6N5x3sWMU4kKpJPQxjiXnoe3RqrDyIzq6ffrJqkjr1HE9qSOFW8Ov&#10;k0RwqwZHH3o14kOP7ffuYCW8Nok2X82HeFnf32xPs3gO28dMysuL5e4WWMQl/sHwq0/qUJPT3h+c&#10;DsxIyPJUECohzTNgBBQioy57GtKiAF5X/H+F+gcAAP//AwBQSwECLQAUAAYACAAAACEAtoM4kv4A&#10;AADhAQAAEwAAAAAAAAAAAAAAAAAAAAAAW0NvbnRlbnRfVHlwZXNdLnhtbFBLAQItABQABgAIAAAA&#10;IQA4/SH/1gAAAJQBAAALAAAAAAAAAAAAAAAAAC8BAABfcmVscy8ucmVsc1BLAQItABQABgAIAAAA&#10;IQBj+gsXFAIAACAEAAAOAAAAAAAAAAAAAAAAAC4CAABkcnMvZTJvRG9jLnhtbFBLAQItABQABgAI&#10;AAAAIQAkonii4AAAAAoBAAAPAAAAAAAAAAAAAAAAAG4EAABkcnMvZG93bnJldi54bWxQSwUGAAAA&#10;AAQABADzAAAAewUAAAAA&#10;" strokecolor="#0070c0">
                <v:textbox>
                  <w:txbxContent>
                    <w:p w14:paraId="2D4BFFEC" w14:textId="77777777" w:rsidR="000C19DE" w:rsidRPr="006D1A14" w:rsidRDefault="000C19DE" w:rsidP="000C19DE">
                      <w:pPr>
                        <w:rPr>
                          <w:rFonts w:ascii="Arial" w:hAnsi="Arial" w:cs="Arial"/>
                        </w:rPr>
                      </w:pPr>
                      <w:r w:rsidRPr="006D1A14">
                        <w:rPr>
                          <w:rFonts w:ascii="Arial" w:hAnsi="Arial" w:cs="Arial"/>
                          <w:b/>
                          <w:bCs/>
                        </w:rPr>
                        <w:t>The AI6 and cultural safety for ACCHOs</w:t>
                      </w:r>
                    </w:p>
                    <w:p w14:paraId="57A5D1A8" w14:textId="36FC660F" w:rsidR="000C19DE" w:rsidRPr="006D1A14" w:rsidRDefault="000C19DE" w:rsidP="000C19DE">
                      <w:pPr>
                        <w:rPr>
                          <w:rFonts w:ascii="Arial" w:hAnsi="Arial" w:cs="Arial"/>
                        </w:rPr>
                      </w:pPr>
                      <w:r w:rsidRPr="006D1A14">
                        <w:rPr>
                          <w:rFonts w:ascii="Arial" w:hAnsi="Arial" w:cs="Arial"/>
                        </w:rPr>
                        <w:t xml:space="preserve">The National AI Centre's six essential practices (the </w:t>
                      </w:r>
                      <w:r w:rsidRPr="00841B7C">
                        <w:rPr>
                          <w:rFonts w:ascii="Arial" w:hAnsi="Arial" w:cs="Arial"/>
                          <w:i/>
                          <w:iCs/>
                        </w:rPr>
                        <w:t>AI6</w:t>
                      </w:r>
                      <w:r w:rsidRPr="006D1A14">
                        <w:rPr>
                          <w:rFonts w:ascii="Arial" w:hAnsi="Arial" w:cs="Arial"/>
                        </w:rPr>
                        <w:t>)</w:t>
                      </w:r>
                      <w:r w:rsidRPr="00D3747B">
                        <w:rPr>
                          <w:rFonts w:ascii="Arial" w:hAnsi="Arial" w:cs="Arial"/>
                          <w:vertAlign w:val="superscript"/>
                        </w:rPr>
                        <w:t>22</w:t>
                      </w:r>
                      <w:r w:rsidRPr="006D1A14">
                        <w:rPr>
                          <w:rFonts w:ascii="Arial" w:hAnsi="Arial" w:cs="Arial"/>
                        </w:rPr>
                        <w:t xml:space="preserve"> set </w:t>
                      </w:r>
                      <w:r>
                        <w:rPr>
                          <w:rFonts w:ascii="Arial" w:hAnsi="Arial" w:cs="Arial"/>
                        </w:rPr>
                        <w:t>a</w:t>
                      </w:r>
                      <w:r w:rsidRPr="006D1A14">
                        <w:rPr>
                          <w:rFonts w:ascii="Arial" w:hAnsi="Arial" w:cs="Arial"/>
                        </w:rPr>
                        <w:t xml:space="preserve"> national baseline for governing AI. This framework meets that </w:t>
                      </w:r>
                      <w:r w:rsidR="002D2C82" w:rsidRPr="006D1A14">
                        <w:rPr>
                          <w:rFonts w:ascii="Arial" w:hAnsi="Arial" w:cs="Arial"/>
                        </w:rPr>
                        <w:t>baseline</w:t>
                      </w:r>
                      <w:r w:rsidR="002D2C82">
                        <w:rPr>
                          <w:rFonts w:ascii="Arial" w:hAnsi="Arial" w:cs="Arial"/>
                        </w:rPr>
                        <w:t xml:space="preserve"> and</w:t>
                      </w:r>
                      <w:r>
                        <w:rPr>
                          <w:rFonts w:ascii="Arial" w:hAnsi="Arial" w:cs="Arial"/>
                        </w:rPr>
                        <w:t xml:space="preserve"> extends it </w:t>
                      </w:r>
                      <w:r w:rsidRPr="006D1A14">
                        <w:rPr>
                          <w:rFonts w:ascii="Arial" w:hAnsi="Arial" w:cs="Arial"/>
                        </w:rPr>
                        <w:t xml:space="preserve">because governing AI in Aboriginal Community Controlled health carries obligations the </w:t>
                      </w:r>
                      <w:r>
                        <w:rPr>
                          <w:rFonts w:ascii="Arial" w:hAnsi="Arial" w:cs="Arial"/>
                        </w:rPr>
                        <w:t xml:space="preserve">beyond the </w:t>
                      </w:r>
                      <w:r w:rsidRPr="006D1A14">
                        <w:rPr>
                          <w:rFonts w:ascii="Arial" w:hAnsi="Arial" w:cs="Arial"/>
                        </w:rPr>
                        <w:t>national guidance</w:t>
                      </w:r>
                      <w:r>
                        <w:rPr>
                          <w:rFonts w:ascii="Arial" w:hAnsi="Arial" w:cs="Arial"/>
                        </w:rPr>
                        <w:t>. Essential practices updated for the ACCHO Sector include:</w:t>
                      </w:r>
                    </w:p>
                    <w:p w14:paraId="0F68FA78" w14:textId="77777777" w:rsidR="000C19DE" w:rsidRPr="006D1A14" w:rsidRDefault="000C19DE" w:rsidP="000C19DE">
                      <w:pPr>
                        <w:numPr>
                          <w:ilvl w:val="0"/>
                          <w:numId w:val="15"/>
                        </w:numPr>
                        <w:tabs>
                          <w:tab w:val="clear" w:pos="284"/>
                          <w:tab w:val="clear" w:pos="567"/>
                          <w:tab w:val="clear" w:pos="851"/>
                        </w:tabs>
                        <w:spacing w:line="240" w:lineRule="auto"/>
                        <w:rPr>
                          <w:rFonts w:ascii="Arial" w:hAnsi="Arial" w:cs="Arial"/>
                        </w:rPr>
                      </w:pPr>
                      <w:r w:rsidRPr="00574173">
                        <w:rPr>
                          <w:rFonts w:ascii="Arial" w:hAnsi="Arial" w:cs="Arial"/>
                          <w:b/>
                          <w:bCs/>
                          <w:color w:val="4C59AB" w:themeColor="accent5" w:themeShade="BF"/>
                        </w:rPr>
                        <w:t>Deciding who is accountable.</w:t>
                      </w:r>
                      <w:r w:rsidRPr="00574173">
                        <w:rPr>
                          <w:rFonts w:ascii="Arial" w:hAnsi="Arial" w:cs="Arial"/>
                          <w:color w:val="4C59AB" w:themeColor="accent5" w:themeShade="BF"/>
                          <w:sz w:val="24"/>
                        </w:rPr>
                        <w:t xml:space="preserve"> </w:t>
                      </w:r>
                      <w:r w:rsidRPr="006D1A14">
                        <w:rPr>
                          <w:rFonts w:ascii="Arial" w:hAnsi="Arial" w:cs="Arial"/>
                        </w:rPr>
                        <w:t>Accountability sits with the ACCHO and its community, not the vendor. It can't be contracted away.</w:t>
                      </w:r>
                    </w:p>
                    <w:p w14:paraId="495D784D" w14:textId="77777777" w:rsidR="000C19DE" w:rsidRPr="006D1A14" w:rsidRDefault="000C19DE" w:rsidP="000C19DE">
                      <w:pPr>
                        <w:numPr>
                          <w:ilvl w:val="0"/>
                          <w:numId w:val="15"/>
                        </w:numPr>
                        <w:tabs>
                          <w:tab w:val="clear" w:pos="284"/>
                          <w:tab w:val="clear" w:pos="567"/>
                          <w:tab w:val="clear" w:pos="851"/>
                        </w:tabs>
                        <w:spacing w:line="240" w:lineRule="auto"/>
                        <w:rPr>
                          <w:rFonts w:ascii="Arial" w:hAnsi="Arial" w:cs="Arial"/>
                        </w:rPr>
                      </w:pPr>
                      <w:r w:rsidRPr="00574173">
                        <w:rPr>
                          <w:rFonts w:ascii="Arial" w:hAnsi="Arial" w:cs="Arial"/>
                          <w:b/>
                          <w:bCs/>
                          <w:color w:val="4C59AB" w:themeColor="accent5" w:themeShade="BF"/>
                        </w:rPr>
                        <w:t>Understanding impacts and plan.</w:t>
                      </w:r>
                      <w:r w:rsidRPr="00574173">
                        <w:rPr>
                          <w:rFonts w:ascii="Arial" w:hAnsi="Arial" w:cs="Arial"/>
                          <w:color w:val="4C59AB" w:themeColor="accent5" w:themeShade="BF"/>
                        </w:rPr>
                        <w:t xml:space="preserve"> </w:t>
                      </w:r>
                      <w:r w:rsidRPr="006D1A14">
                        <w:rPr>
                          <w:rFonts w:ascii="Arial" w:hAnsi="Arial" w:cs="Arial"/>
                        </w:rPr>
                        <w:t>Impact assessment includes cultural safety and the risk of widening, not narrowing, the gap in access and outcomes.</w:t>
                      </w:r>
                    </w:p>
                    <w:p w14:paraId="21DD1058" w14:textId="77777777" w:rsidR="000C19DE" w:rsidRPr="006D1A14" w:rsidRDefault="000C19DE" w:rsidP="000C19DE">
                      <w:pPr>
                        <w:numPr>
                          <w:ilvl w:val="0"/>
                          <w:numId w:val="15"/>
                        </w:numPr>
                        <w:tabs>
                          <w:tab w:val="clear" w:pos="284"/>
                          <w:tab w:val="clear" w:pos="567"/>
                          <w:tab w:val="clear" w:pos="851"/>
                        </w:tabs>
                        <w:spacing w:line="240" w:lineRule="auto"/>
                        <w:rPr>
                          <w:rFonts w:ascii="Arial" w:hAnsi="Arial" w:cs="Arial"/>
                        </w:rPr>
                      </w:pPr>
                      <w:r w:rsidRPr="00574173">
                        <w:rPr>
                          <w:rFonts w:ascii="Arial" w:hAnsi="Arial" w:cs="Arial"/>
                          <w:b/>
                          <w:bCs/>
                          <w:color w:val="4C59AB" w:themeColor="accent5" w:themeShade="BF"/>
                        </w:rPr>
                        <w:t>Measuring and managing risks.</w:t>
                      </w:r>
                      <w:r w:rsidRPr="00574173">
                        <w:rPr>
                          <w:rFonts w:ascii="Arial" w:hAnsi="Arial" w:cs="Arial"/>
                          <w:color w:val="4C59AB" w:themeColor="accent5" w:themeShade="BF"/>
                        </w:rPr>
                        <w:t xml:space="preserve">  </w:t>
                      </w:r>
                      <w:r w:rsidRPr="006D1A14">
                        <w:rPr>
                          <w:rFonts w:ascii="Arial" w:hAnsi="Arial" w:cs="Arial"/>
                        </w:rPr>
                        <w:t>Risk includes harm to cultural knowledge, not only clinical or operational harm.</w:t>
                      </w:r>
                    </w:p>
                    <w:p w14:paraId="38C8C8CD" w14:textId="77777777" w:rsidR="000C19DE" w:rsidRPr="006D1A14" w:rsidRDefault="000C19DE" w:rsidP="000C19DE">
                      <w:pPr>
                        <w:numPr>
                          <w:ilvl w:val="0"/>
                          <w:numId w:val="15"/>
                        </w:numPr>
                        <w:tabs>
                          <w:tab w:val="clear" w:pos="284"/>
                          <w:tab w:val="clear" w:pos="567"/>
                          <w:tab w:val="clear" w:pos="851"/>
                        </w:tabs>
                        <w:spacing w:line="240" w:lineRule="auto"/>
                        <w:rPr>
                          <w:rFonts w:ascii="Arial" w:hAnsi="Arial" w:cs="Arial"/>
                        </w:rPr>
                      </w:pPr>
                      <w:r w:rsidRPr="00574173">
                        <w:rPr>
                          <w:rFonts w:ascii="Arial" w:hAnsi="Arial" w:cs="Arial"/>
                          <w:b/>
                          <w:bCs/>
                          <w:color w:val="4C59AB" w:themeColor="accent5" w:themeShade="BF"/>
                        </w:rPr>
                        <w:t>Sharing essential information.</w:t>
                      </w:r>
                      <w:r w:rsidRPr="00574173">
                        <w:rPr>
                          <w:rFonts w:ascii="Arial" w:hAnsi="Arial" w:cs="Arial"/>
                          <w:color w:val="4C59AB" w:themeColor="accent5" w:themeShade="BF"/>
                        </w:rPr>
                        <w:t xml:space="preserve"> </w:t>
                      </w:r>
                      <w:r w:rsidRPr="006D1A14">
                        <w:rPr>
                          <w:rFonts w:ascii="Arial" w:hAnsi="Arial" w:cs="Arial"/>
                        </w:rPr>
                        <w:t>Transparency means community-facing, in language where needed, and available before care, not buried in a policy.</w:t>
                      </w:r>
                    </w:p>
                    <w:p w14:paraId="09CC293B" w14:textId="77777777" w:rsidR="000C19DE" w:rsidRPr="006D1A14" w:rsidRDefault="000C19DE" w:rsidP="000C19DE">
                      <w:pPr>
                        <w:numPr>
                          <w:ilvl w:val="0"/>
                          <w:numId w:val="15"/>
                        </w:numPr>
                        <w:tabs>
                          <w:tab w:val="clear" w:pos="284"/>
                          <w:tab w:val="clear" w:pos="567"/>
                          <w:tab w:val="clear" w:pos="851"/>
                        </w:tabs>
                        <w:spacing w:line="240" w:lineRule="auto"/>
                        <w:rPr>
                          <w:rFonts w:ascii="Arial" w:hAnsi="Arial" w:cs="Arial"/>
                        </w:rPr>
                      </w:pPr>
                      <w:r w:rsidRPr="00574173">
                        <w:rPr>
                          <w:rFonts w:ascii="Arial" w:hAnsi="Arial" w:cs="Arial"/>
                          <w:b/>
                          <w:bCs/>
                          <w:color w:val="4C59AB" w:themeColor="accent5" w:themeShade="BF"/>
                        </w:rPr>
                        <w:t>Testing and monitoring.</w:t>
                      </w:r>
                      <w:r w:rsidRPr="00574173">
                        <w:rPr>
                          <w:rFonts w:ascii="Arial" w:hAnsi="Arial" w:cs="Arial"/>
                          <w:color w:val="4C59AB" w:themeColor="accent5" w:themeShade="BF"/>
                        </w:rPr>
                        <w:t xml:space="preserve"> </w:t>
                      </w:r>
                      <w:r w:rsidRPr="006D1A14">
                        <w:rPr>
                          <w:rFonts w:ascii="Arial" w:hAnsi="Arial" w:cs="Arial"/>
                        </w:rPr>
                        <w:t>Testing includes whether training data represents Aboriginal and Torres Strait Islander people, the loudest signal from the sector consultation.</w:t>
                      </w:r>
                    </w:p>
                    <w:p w14:paraId="78567E38" w14:textId="77777777" w:rsidR="000C19DE" w:rsidRPr="006D1A14" w:rsidRDefault="000C19DE" w:rsidP="000C19DE">
                      <w:pPr>
                        <w:numPr>
                          <w:ilvl w:val="0"/>
                          <w:numId w:val="15"/>
                        </w:numPr>
                        <w:tabs>
                          <w:tab w:val="clear" w:pos="284"/>
                          <w:tab w:val="clear" w:pos="567"/>
                          <w:tab w:val="clear" w:pos="851"/>
                        </w:tabs>
                        <w:spacing w:after="0" w:line="240" w:lineRule="auto"/>
                        <w:rPr>
                          <w:rFonts w:ascii="Arial" w:hAnsi="Arial" w:cs="Arial"/>
                        </w:rPr>
                      </w:pPr>
                      <w:r w:rsidRPr="00574173">
                        <w:rPr>
                          <w:rFonts w:ascii="Arial" w:hAnsi="Arial" w:cs="Arial"/>
                          <w:b/>
                          <w:bCs/>
                          <w:color w:val="4C59AB" w:themeColor="accent5" w:themeShade="BF"/>
                        </w:rPr>
                        <w:t>Maintaining human control.</w:t>
                      </w:r>
                      <w:r w:rsidRPr="00574173">
                        <w:rPr>
                          <w:rFonts w:ascii="Arial" w:hAnsi="Arial" w:cs="Arial"/>
                          <w:color w:val="4C59AB" w:themeColor="accent5" w:themeShade="BF"/>
                        </w:rPr>
                        <w:t xml:space="preserve"> </w:t>
                      </w:r>
                      <w:r w:rsidRPr="006D1A14">
                        <w:rPr>
                          <w:rFonts w:ascii="Arial" w:hAnsi="Arial" w:cs="Arial"/>
                        </w:rPr>
                        <w:t>Human judgement is a foundational principle here. AI supports the clinician, the manager and the Board, it doesn't replace them.</w:t>
                      </w:r>
                    </w:p>
                  </w:txbxContent>
                </v:textbox>
                <w10:wrap type="square"/>
              </v:shape>
            </w:pict>
          </mc:Fallback>
        </mc:AlternateContent>
      </w:r>
      <w:r w:rsidR="000C19DE" w:rsidRPr="00574173">
        <w:rPr>
          <w:rFonts w:ascii="Arial" w:hAnsi="Arial" w:cs="Arial"/>
          <w:color w:val="4C59AB" w:themeColor="accent5" w:themeShade="BF"/>
        </w:rPr>
        <w:t>Risk Matrix</w:t>
      </w:r>
      <w:bookmarkEnd w:id="102"/>
      <w:bookmarkEnd w:id="103"/>
      <w:bookmarkEnd w:id="104"/>
      <w:bookmarkEnd w:id="105"/>
      <w:bookmarkEnd w:id="106"/>
      <w:bookmarkEnd w:id="107"/>
      <w:bookmarkEnd w:id="108"/>
      <w:bookmarkEnd w:id="109"/>
    </w:p>
    <w:p w14:paraId="4FD3844A" w14:textId="2ADFE49D" w:rsidR="000C19DE" w:rsidRDefault="000C19DE" w:rsidP="005766E8">
      <w:pPr>
        <w:pStyle w:val="NACCHOtext"/>
        <w:rPr>
          <w:b/>
          <w:bCs/>
        </w:rPr>
      </w:pPr>
      <w:r w:rsidRPr="00574173">
        <w:t xml:space="preserve">Two risk matrices have been developed to complement the Framework, rating the likelihood and consequence of harms arising from AI use in ACCHO settings, including harms to community trust, cultural safety and data sovereignty alongside clinical and operational risk. A description is included below and both matrices are at </w:t>
      </w:r>
      <w:r w:rsidRPr="00574173">
        <w:rPr>
          <w:b/>
          <w:bCs/>
        </w:rPr>
        <w:t>Appendix 1</w:t>
      </w:r>
      <w:r>
        <w:rPr>
          <w:b/>
          <w:bCs/>
        </w:rPr>
        <w:t>.</w:t>
      </w:r>
    </w:p>
    <w:p w14:paraId="0086E70C" w14:textId="0A9E3FA8" w:rsidR="000C19DE" w:rsidRPr="00D43E72" w:rsidRDefault="000C19DE" w:rsidP="000C19DE">
      <w:pPr>
        <w:pStyle w:val="ListParagraph"/>
        <w:numPr>
          <w:ilvl w:val="0"/>
          <w:numId w:val="14"/>
        </w:numPr>
        <w:tabs>
          <w:tab w:val="clear" w:pos="284"/>
          <w:tab w:val="clear" w:pos="567"/>
          <w:tab w:val="clear" w:pos="851"/>
        </w:tabs>
        <w:spacing w:after="0" w:line="300" w:lineRule="auto"/>
        <w:ind w:left="360"/>
        <w:contextualSpacing w:val="0"/>
        <w:rPr>
          <w:rFonts w:ascii="Arial" w:hAnsi="Arial" w:cs="Arial"/>
          <w:b/>
          <w:bCs/>
        </w:rPr>
      </w:pPr>
      <w:r>
        <w:rPr>
          <w:rFonts w:ascii="Arial" w:hAnsi="Arial" w:cs="Arial"/>
          <w:b/>
          <w:bCs/>
        </w:rPr>
        <w:t>Risk Matrix 1: Tool risk classification</w:t>
      </w:r>
    </w:p>
    <w:p w14:paraId="525A7ADE" w14:textId="36F9FE71" w:rsidR="000C19DE" w:rsidRPr="003E642E" w:rsidRDefault="000C19DE" w:rsidP="00223179">
      <w:pPr>
        <w:ind w:left="357"/>
        <w:rPr>
          <w:rFonts w:ascii="Arial" w:hAnsi="Arial" w:cs="Arial"/>
        </w:rPr>
      </w:pPr>
      <w:r>
        <w:rPr>
          <w:rFonts w:ascii="Arial" w:hAnsi="Arial" w:cs="Arial"/>
        </w:rPr>
        <w:t>The governance tier is set by two dimensions: how much influence the tool has over care, and what data and community obligations it engages. The tiering determines who approves the tool, what assessments are required, and how often it is reviewed as agreed by the Board. Where a tool sits on the boundary of two tiers, it is recommended that the higher tier applies.</w:t>
      </w:r>
    </w:p>
    <w:p w14:paraId="742889BD" w14:textId="14ADD237" w:rsidR="000C19DE" w:rsidRPr="003E642E" w:rsidRDefault="000C19DE" w:rsidP="000C19DE">
      <w:pPr>
        <w:pStyle w:val="ListParagraph"/>
        <w:numPr>
          <w:ilvl w:val="0"/>
          <w:numId w:val="14"/>
        </w:numPr>
        <w:tabs>
          <w:tab w:val="clear" w:pos="284"/>
          <w:tab w:val="clear" w:pos="567"/>
          <w:tab w:val="clear" w:pos="851"/>
        </w:tabs>
        <w:spacing w:after="0" w:line="300" w:lineRule="auto"/>
        <w:ind w:left="360"/>
        <w:contextualSpacing w:val="0"/>
        <w:rPr>
          <w:rFonts w:ascii="Arial" w:hAnsi="Arial" w:cs="Arial"/>
          <w:b/>
          <w:bCs/>
        </w:rPr>
      </w:pPr>
      <w:r>
        <w:rPr>
          <w:rFonts w:ascii="Arial" w:hAnsi="Arial" w:cs="Arial"/>
          <w:b/>
          <w:bCs/>
        </w:rPr>
        <w:t>Risk Matrix 2: AI risk rating</w:t>
      </w:r>
    </w:p>
    <w:p w14:paraId="5238FCF6" w14:textId="2ED39AA9" w:rsidR="000C19DE" w:rsidRDefault="000C19DE" w:rsidP="00223179">
      <w:pPr>
        <w:pStyle w:val="ListParagraph"/>
        <w:ind w:left="357"/>
        <w:rPr>
          <w:rFonts w:ascii="Arial" w:hAnsi="Arial" w:cs="Arial"/>
          <w:color w:val="212121"/>
        </w:rPr>
      </w:pPr>
      <w:r>
        <w:rPr>
          <w:rFonts w:ascii="Arial" w:hAnsi="Arial" w:cs="Arial"/>
          <w:color w:val="212121"/>
        </w:rPr>
        <w:t>Once a tool is in use, individual risks and incidents are rated using the Organisation's standard likelihood and consequence approach. The consequence scale in this matrix extends the usual clinical and operational definitions to include cultural harm and breaches of Indigenous Data Sovereignty, so that a culturally unsafe output or a sovereignty breach is rated on its own weight, not only by the clinical effect or harm to a patient.</w:t>
      </w:r>
    </w:p>
    <w:p w14:paraId="1C5A5547" w14:textId="0426470A" w:rsidR="00DC5804" w:rsidRDefault="00DC5804" w:rsidP="000C19DE">
      <w:pPr>
        <w:pStyle w:val="Heading3"/>
        <w:spacing w:before="180"/>
        <w:rPr>
          <w:rFonts w:ascii="Arial" w:hAnsi="Arial" w:cs="Arial"/>
          <w:color w:val="4C59AB" w:themeColor="accent5" w:themeShade="BF"/>
        </w:rPr>
        <w:sectPr w:rsidR="00DC5804" w:rsidSect="0075347C">
          <w:footerReference w:type="first" r:id="rId24"/>
          <w:pgSz w:w="11900" w:h="16840"/>
          <w:pgMar w:top="1021" w:right="1134" w:bottom="1418" w:left="1134" w:header="567" w:footer="454" w:gutter="0"/>
          <w:cols w:space="708"/>
          <w:docGrid w:linePitch="360"/>
        </w:sectPr>
      </w:pPr>
      <w:bookmarkStart w:id="110" w:name="_Toc238474899"/>
      <w:bookmarkStart w:id="111" w:name="_Toc238475812"/>
      <w:bookmarkStart w:id="112" w:name="_Toc238562130"/>
      <w:bookmarkStart w:id="113" w:name="_Toc238564208"/>
      <w:bookmarkStart w:id="114" w:name="_Toc239257313"/>
      <w:bookmarkStart w:id="115" w:name="_Toc239257416"/>
      <w:bookmarkStart w:id="116" w:name="_Toc239257517"/>
    </w:p>
    <w:p w14:paraId="6F4D5962" w14:textId="77777777" w:rsidR="000C19DE" w:rsidRPr="00574173" w:rsidRDefault="000C19DE" w:rsidP="000C19DE">
      <w:pPr>
        <w:pStyle w:val="Heading3"/>
        <w:spacing w:before="180"/>
        <w:rPr>
          <w:rFonts w:ascii="Arial" w:hAnsi="Arial" w:cs="Arial"/>
          <w:color w:val="4C59AB" w:themeColor="accent5" w:themeShade="BF"/>
        </w:rPr>
      </w:pPr>
      <w:bookmarkStart w:id="117" w:name="_Toc240956385"/>
      <w:r w:rsidRPr="00574173">
        <w:rPr>
          <w:rFonts w:ascii="Arial" w:hAnsi="Arial" w:cs="Arial"/>
          <w:color w:val="4C59AB" w:themeColor="accent5" w:themeShade="BF"/>
        </w:rPr>
        <w:lastRenderedPageBreak/>
        <w:t>AI risk appetite and controls</w:t>
      </w:r>
      <w:bookmarkEnd w:id="110"/>
      <w:bookmarkEnd w:id="111"/>
      <w:bookmarkEnd w:id="112"/>
      <w:bookmarkEnd w:id="113"/>
      <w:bookmarkEnd w:id="114"/>
      <w:bookmarkEnd w:id="115"/>
      <w:bookmarkEnd w:id="116"/>
      <w:bookmarkEnd w:id="117"/>
    </w:p>
    <w:p w14:paraId="056AF3A6" w14:textId="77777777" w:rsidR="000C19DE" w:rsidRDefault="000C19DE" w:rsidP="000C19DE">
      <w:pPr>
        <w:rPr>
          <w:rFonts w:ascii="Arial" w:hAnsi="Arial" w:cs="Arial"/>
          <w:color w:val="212121"/>
        </w:rPr>
      </w:pPr>
      <w:r w:rsidRPr="0023227A">
        <w:rPr>
          <w:rFonts w:ascii="Arial" w:hAnsi="Arial" w:cs="Arial"/>
          <w:color w:val="212121"/>
        </w:rPr>
        <w:t xml:space="preserve">AI that is deployed in both clinical and non-clinical settings should be considered within an ACCHOs risk appetite – that is, the level of risk an ACCHO is willing to accept </w:t>
      </w:r>
      <w:r>
        <w:rPr>
          <w:rFonts w:ascii="Arial" w:hAnsi="Arial" w:cs="Arial"/>
          <w:color w:val="212121"/>
        </w:rPr>
        <w:t xml:space="preserve">in </w:t>
      </w:r>
      <w:r w:rsidRPr="0023227A">
        <w:rPr>
          <w:rFonts w:ascii="Arial" w:hAnsi="Arial" w:cs="Arial"/>
          <w:color w:val="212121"/>
        </w:rPr>
        <w:t xml:space="preserve">its approved use of the technology, </w:t>
      </w:r>
      <w:r>
        <w:rPr>
          <w:rFonts w:ascii="Arial" w:hAnsi="Arial" w:cs="Arial"/>
          <w:color w:val="212121"/>
        </w:rPr>
        <w:t>alongside</w:t>
      </w:r>
      <w:r w:rsidRPr="0023227A">
        <w:rPr>
          <w:rFonts w:ascii="Arial" w:hAnsi="Arial" w:cs="Arial"/>
          <w:color w:val="212121"/>
        </w:rPr>
        <w:t xml:space="preserve"> the associated controls in place to mitigat</w:t>
      </w:r>
      <w:r>
        <w:rPr>
          <w:rFonts w:ascii="Arial" w:hAnsi="Arial" w:cs="Arial"/>
          <w:color w:val="212121"/>
        </w:rPr>
        <w:t>e</w:t>
      </w:r>
      <w:r w:rsidRPr="0023227A">
        <w:rPr>
          <w:rFonts w:ascii="Arial" w:hAnsi="Arial" w:cs="Arial"/>
          <w:color w:val="212121"/>
        </w:rPr>
        <w:t xml:space="preserve">. For example, risk appetite may differ </w:t>
      </w:r>
      <w:r>
        <w:rPr>
          <w:rFonts w:ascii="Arial" w:hAnsi="Arial" w:cs="Arial"/>
          <w:color w:val="212121"/>
        </w:rPr>
        <w:t>between</w:t>
      </w:r>
      <w:r w:rsidRPr="0023227A">
        <w:rPr>
          <w:rFonts w:ascii="Arial" w:hAnsi="Arial" w:cs="Arial"/>
          <w:color w:val="212121"/>
        </w:rPr>
        <w:t xml:space="preserve"> deploying an AI-enabled scribe or an AI that supports office administration for patient bookings. Similarly, the level of governance and controls required for both of these technologies may exist on a continuum</w:t>
      </w:r>
      <w:r>
        <w:rPr>
          <w:rFonts w:ascii="Arial" w:hAnsi="Arial" w:cs="Arial"/>
          <w:color w:val="212121"/>
        </w:rPr>
        <w:t>,</w:t>
      </w:r>
      <w:r w:rsidRPr="0023227A">
        <w:rPr>
          <w:rFonts w:ascii="Arial" w:hAnsi="Arial" w:cs="Arial"/>
          <w:color w:val="212121"/>
        </w:rPr>
        <w:t xml:space="preserve"> where lower </w:t>
      </w:r>
      <w:r>
        <w:rPr>
          <w:rFonts w:ascii="Arial" w:hAnsi="Arial" w:cs="Arial"/>
          <w:color w:val="212121"/>
        </w:rPr>
        <w:t xml:space="preserve">risk </w:t>
      </w:r>
      <w:r w:rsidRPr="0023227A">
        <w:rPr>
          <w:rFonts w:ascii="Arial" w:hAnsi="Arial" w:cs="Arial"/>
          <w:color w:val="212121"/>
        </w:rPr>
        <w:t xml:space="preserve">AI requires less governance scrutiny and higher risk AI requires more. </w:t>
      </w:r>
    </w:p>
    <w:p w14:paraId="1EC7CF0F" w14:textId="6A7AE708" w:rsidR="006C72A6" w:rsidRPr="008D638F" w:rsidRDefault="000C19DE" w:rsidP="008D638F">
      <w:pPr>
        <w:pStyle w:val="NACCHOtext"/>
      </w:pPr>
      <w:r w:rsidRPr="0023227A">
        <w:t xml:space="preserve">It is important to remember that all AI tools should be </w:t>
      </w:r>
      <w:r>
        <w:t>governed</w:t>
      </w:r>
      <w:r w:rsidRPr="0023227A">
        <w:t xml:space="preserve"> within </w:t>
      </w:r>
      <w:r>
        <w:t>an</w:t>
      </w:r>
      <w:r w:rsidRPr="0023227A">
        <w:t xml:space="preserve"> ACCHOs agreed risk appetite</w:t>
      </w:r>
      <w:r>
        <w:t>, with the appropriate</w:t>
      </w:r>
      <w:r w:rsidRPr="0023227A">
        <w:t xml:space="preserve"> controls </w:t>
      </w:r>
      <w:r>
        <w:t>in place</w:t>
      </w:r>
      <w:r w:rsidRPr="0023227A">
        <w:t xml:space="preserve"> to use them safely</w:t>
      </w:r>
      <w:r>
        <w:t xml:space="preserve"> and securely</w:t>
      </w:r>
      <w:r w:rsidRPr="0023227A">
        <w:t xml:space="preserve">. An example </w:t>
      </w:r>
      <w:r w:rsidRPr="00FA5D99">
        <w:rPr>
          <w:i/>
          <w:iCs/>
        </w:rPr>
        <w:t>‘risk and control’</w:t>
      </w:r>
      <w:r>
        <w:t xml:space="preserve"> </w:t>
      </w:r>
      <w:r w:rsidRPr="0023227A">
        <w:t>continuum is at</w:t>
      </w:r>
      <w:r>
        <w:t xml:space="preserve"> </w:t>
      </w:r>
      <w:r w:rsidRPr="000F7770">
        <w:rPr>
          <w:b/>
          <w:bCs/>
        </w:rPr>
        <w:t>Figure 1</w:t>
      </w:r>
      <w:r>
        <w:t xml:space="preserve">, where </w:t>
      </w:r>
      <w:r w:rsidRPr="0062537B">
        <w:t>tool</w:t>
      </w:r>
      <w:r>
        <w:t>s</w:t>
      </w:r>
      <w:r w:rsidRPr="0062537B">
        <w:t xml:space="preserve"> sit </w:t>
      </w:r>
      <w:r>
        <w:t xml:space="preserve">within a risk </w:t>
      </w:r>
      <w:r w:rsidRPr="0062537B">
        <w:t xml:space="preserve">tier </w:t>
      </w:r>
      <w:r>
        <w:t>and specific drivers determine how risk is elevated or reduced with controls. This may change depending on</w:t>
      </w:r>
      <w:r w:rsidRPr="0062537B">
        <w:t xml:space="preserve"> what the tool does with data, how much it decides on its own, </w:t>
      </w:r>
      <w:r>
        <w:t xml:space="preserve">and </w:t>
      </w:r>
      <w:r w:rsidRPr="0062537B">
        <w:t>how far its output reaches, not by whether it is labelled clinical or administrative</w:t>
      </w:r>
      <w:r>
        <w:t xml:space="preserve"> AI</w:t>
      </w:r>
      <w:r w:rsidR="002D2C82">
        <w:t>.</w:t>
      </w:r>
    </w:p>
    <w:p w14:paraId="0981EA85" w14:textId="02F1E577" w:rsidR="00063E9F" w:rsidRDefault="002D1986" w:rsidP="002D1986">
      <w:pPr>
        <w:spacing w:after="480"/>
      </w:pPr>
      <w:r w:rsidRPr="001902A0">
        <w:rPr>
          <w:rFonts w:ascii="Arial" w:hAnsi="Arial" w:cs="Arial"/>
          <w:b/>
          <w:bCs/>
          <w:noProof/>
        </w:rPr>
        <w:drawing>
          <wp:anchor distT="0" distB="0" distL="114300" distR="114300" simplePos="0" relativeHeight="251658243" behindDoc="1" locked="0" layoutInCell="1" allowOverlap="1" wp14:anchorId="406BEA49" wp14:editId="4C7F3909">
            <wp:simplePos x="0" y="0"/>
            <wp:positionH relativeFrom="column">
              <wp:posOffset>0</wp:posOffset>
            </wp:positionH>
            <wp:positionV relativeFrom="paragraph">
              <wp:posOffset>436356</wp:posOffset>
            </wp:positionV>
            <wp:extent cx="5731510" cy="4384040"/>
            <wp:effectExtent l="0" t="0" r="2540" b="0"/>
            <wp:wrapTight wrapText="bothSides">
              <wp:wrapPolygon edited="0">
                <wp:start x="0" y="0"/>
                <wp:lineTo x="0" y="21494"/>
                <wp:lineTo x="21538" y="21494"/>
                <wp:lineTo x="21538" y="0"/>
                <wp:lineTo x="0" y="0"/>
              </wp:wrapPolygon>
            </wp:wrapTight>
            <wp:docPr id="219769681" name="Picture 1" descr="The image depicts a flowchart or decision tree outlining the different tiers of risk appetite levels in an Aged Care Community (ACCHO) setting, detailing the consequences of errors, administrative changes, and data handling at each lev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769681" name="Picture 1" descr="The image depicts a flowchart or decision tree outlining the different tiers of risk appetite levels in an Aged Care Community (ACCHO) setting, detailing the consequences of errors, administrative changes, and data handling at each level.&#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5731510" cy="4384040"/>
                    </a:xfrm>
                    <a:prstGeom prst="rect">
                      <a:avLst/>
                    </a:prstGeom>
                  </pic:spPr>
                </pic:pic>
              </a:graphicData>
            </a:graphic>
            <wp14:sizeRelH relativeFrom="page">
              <wp14:pctWidth>0</wp14:pctWidth>
            </wp14:sizeRelH>
            <wp14:sizeRelV relativeFrom="page">
              <wp14:pctHeight>0</wp14:pctHeight>
            </wp14:sizeRelV>
          </wp:anchor>
        </w:drawing>
      </w:r>
      <w:r w:rsidR="00BD63A6" w:rsidRPr="00262412">
        <w:rPr>
          <w:rFonts w:ascii="Arial" w:hAnsi="Arial" w:cs="Arial"/>
          <w:b/>
          <w:bCs/>
          <w:szCs w:val="20"/>
        </w:rPr>
        <w:t>Figure 1 - AI risk</w:t>
      </w:r>
      <w:r w:rsidR="00BD63A6">
        <w:rPr>
          <w:rFonts w:ascii="Arial" w:hAnsi="Arial" w:cs="Arial"/>
          <w:b/>
          <w:bCs/>
          <w:szCs w:val="20"/>
        </w:rPr>
        <w:t xml:space="preserve"> and control </w:t>
      </w:r>
      <w:r w:rsidR="00BD63A6" w:rsidRPr="00262412">
        <w:rPr>
          <w:rFonts w:ascii="Arial" w:hAnsi="Arial" w:cs="Arial"/>
          <w:b/>
          <w:bCs/>
          <w:szCs w:val="20"/>
        </w:rPr>
        <w:t>continuum</w:t>
      </w:r>
    </w:p>
    <w:p w14:paraId="0C485368" w14:textId="77777777" w:rsidR="00BF4005" w:rsidRPr="00BF4005" w:rsidRDefault="00BF4005" w:rsidP="00BF4005">
      <w:pPr>
        <w:keepNext/>
        <w:keepLines/>
        <w:pageBreakBefore/>
        <w:spacing w:line="264" w:lineRule="auto"/>
        <w:outlineLvl w:val="0"/>
        <w:rPr>
          <w:rFonts w:ascii="Arial" w:eastAsiaTheme="majorEastAsia" w:hAnsi="Arial" w:cs="Arial"/>
          <w:b/>
          <w:color w:val="002060"/>
          <w:sz w:val="44"/>
          <w:szCs w:val="40"/>
        </w:rPr>
      </w:pPr>
      <w:bookmarkStart w:id="118" w:name="_Toc238474910"/>
      <w:bookmarkStart w:id="119" w:name="_Toc238475823"/>
      <w:bookmarkStart w:id="120" w:name="_Toc238562141"/>
      <w:bookmarkStart w:id="121" w:name="_Toc239257314"/>
      <w:bookmarkStart w:id="122" w:name="_Toc239257417"/>
      <w:bookmarkStart w:id="123" w:name="_Toc239257518"/>
      <w:bookmarkStart w:id="124" w:name="_Toc240894355"/>
      <w:bookmarkStart w:id="125" w:name="_Toc240897568"/>
      <w:bookmarkStart w:id="126" w:name="_Toc240956386"/>
      <w:bookmarkStart w:id="127" w:name="_Toc240956433"/>
      <w:bookmarkStart w:id="128" w:name="_Toc240960031"/>
      <w:r w:rsidRPr="00BF4005">
        <w:rPr>
          <w:rFonts w:ascii="Arial" w:eastAsiaTheme="majorEastAsia" w:hAnsi="Arial" w:cs="Arial"/>
          <w:b/>
          <w:color w:val="002060"/>
          <w:sz w:val="44"/>
          <w:szCs w:val="40"/>
        </w:rPr>
        <w:lastRenderedPageBreak/>
        <w:t>4. How the Framework operates</w:t>
      </w:r>
      <w:bookmarkEnd w:id="118"/>
      <w:bookmarkEnd w:id="119"/>
      <w:bookmarkEnd w:id="120"/>
      <w:bookmarkEnd w:id="121"/>
      <w:bookmarkEnd w:id="122"/>
      <w:bookmarkEnd w:id="123"/>
      <w:bookmarkEnd w:id="124"/>
      <w:bookmarkEnd w:id="125"/>
      <w:bookmarkEnd w:id="126"/>
      <w:bookmarkEnd w:id="127"/>
      <w:bookmarkEnd w:id="128"/>
    </w:p>
    <w:p w14:paraId="4DB47D85" w14:textId="77777777" w:rsidR="00BF4005" w:rsidRPr="00BF4005" w:rsidRDefault="00BF4005" w:rsidP="00E27894">
      <w:pPr>
        <w:pStyle w:val="NACCHOtext"/>
        <w:spacing w:after="0"/>
      </w:pPr>
      <w:r w:rsidRPr="00BF4005">
        <w:t>This section sets out, at a high level, how the Framework is applied in practice. The Framework is intended to be applied by individual ACCHOs to any AI-enabled tool under consideration for, or already in use within, the Organisation. Application involves a three-stage process described below.</w:t>
      </w:r>
    </w:p>
    <w:p w14:paraId="20402EC3" w14:textId="77777777" w:rsidR="00BF4005" w:rsidRPr="00BF4005" w:rsidRDefault="00BF4005" w:rsidP="00BF4005">
      <w:pPr>
        <w:spacing w:after="140" w:line="300" w:lineRule="auto"/>
        <w:jc w:val="center"/>
        <w:rPr>
          <w:rFonts w:ascii="Arial" w:hAnsi="Arial" w:cs="Arial"/>
        </w:rPr>
      </w:pPr>
      <w:r w:rsidRPr="00BF4005">
        <w:rPr>
          <w:rFonts w:ascii="Arial" w:hAnsi="Arial" w:cs="Arial"/>
          <w:noProof/>
        </w:rPr>
        <w:drawing>
          <wp:inline distT="0" distB="0" distL="0" distR="0" wp14:anchorId="683A045D" wp14:editId="70C7B6BE">
            <wp:extent cx="4616542" cy="3686175"/>
            <wp:effectExtent l="0" t="0" r="0" b="0"/>
            <wp:docPr id="1545397022" name="Picture 1" descr="The image illustrates a four-stage framework for assessing and implementing a deployment process, starting with foundational principles like data sovereignty and cultural safety, followed by human judgment, and culminating in continuous evaluation and govern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97022" name="Picture 1" descr="The image illustrates a four-stage framework for assessing and implementing a deployment process, starting with foundational principles like data sovereignty and cultural safety, followed by human judgment, and culminating in continuous evaluation and governance.&#10;&#10;AI-generated content may be incorrect."/>
                    <pic:cNvPicPr/>
                  </pic:nvPicPr>
                  <pic:blipFill>
                    <a:blip r:embed="rId26"/>
                    <a:stretch>
                      <a:fillRect/>
                    </a:stretch>
                  </pic:blipFill>
                  <pic:spPr>
                    <a:xfrm>
                      <a:off x="0" y="0"/>
                      <a:ext cx="4643065" cy="3707352"/>
                    </a:xfrm>
                    <a:prstGeom prst="rect">
                      <a:avLst/>
                    </a:prstGeom>
                  </pic:spPr>
                </pic:pic>
              </a:graphicData>
            </a:graphic>
          </wp:inline>
        </w:drawing>
      </w:r>
    </w:p>
    <w:tbl>
      <w:tblPr>
        <w:tblStyle w:val="PlainTable1"/>
        <w:tblW w:w="0" w:type="auto"/>
        <w:tblLook w:val="04A0" w:firstRow="1" w:lastRow="0" w:firstColumn="1" w:lastColumn="0" w:noHBand="0" w:noVBand="1"/>
      </w:tblPr>
      <w:tblGrid>
        <w:gridCol w:w="2263"/>
        <w:gridCol w:w="7230"/>
      </w:tblGrid>
      <w:tr w:rsidR="00BF4005" w:rsidRPr="00BF4005" w14:paraId="18436AE5" w14:textId="77777777" w:rsidTr="001348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shd w:val="clear" w:color="auto" w:fill="002060"/>
          </w:tcPr>
          <w:p w14:paraId="594EA157" w14:textId="77777777" w:rsidR="00BF4005" w:rsidRPr="00BF4005" w:rsidRDefault="00BF4005" w:rsidP="00BF4005">
            <w:pPr>
              <w:spacing w:before="120" w:after="80" w:line="300" w:lineRule="auto"/>
              <w:rPr>
                <w:rFonts w:ascii="Arial" w:hAnsi="Arial" w:cs="Arial"/>
                <w:color w:val="FFFFFF" w:themeColor="background1"/>
              </w:rPr>
            </w:pPr>
            <w:r w:rsidRPr="00BF4005">
              <w:rPr>
                <w:rFonts w:ascii="Arial" w:hAnsi="Arial" w:cs="Arial"/>
                <w:color w:val="FFFFFF" w:themeColor="background1"/>
              </w:rPr>
              <w:t>Process</w:t>
            </w:r>
          </w:p>
        </w:tc>
        <w:tc>
          <w:tcPr>
            <w:tcW w:w="7230" w:type="dxa"/>
            <w:shd w:val="clear" w:color="auto" w:fill="002060"/>
          </w:tcPr>
          <w:p w14:paraId="389070C8" w14:textId="77777777" w:rsidR="00BF4005" w:rsidRPr="00BF4005" w:rsidRDefault="00BF4005" w:rsidP="00BF4005">
            <w:pPr>
              <w:spacing w:before="120" w:after="80" w:line="300" w:lineRule="auto"/>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BF4005">
              <w:rPr>
                <w:rFonts w:ascii="Arial" w:hAnsi="Arial" w:cs="Arial"/>
                <w:color w:val="FFFFFF" w:themeColor="background1"/>
              </w:rPr>
              <w:t>ACCHO action</w:t>
            </w:r>
          </w:p>
        </w:tc>
      </w:tr>
      <w:tr w:rsidR="00BF4005" w:rsidRPr="00BF4005" w14:paraId="686FAFE3" w14:textId="77777777" w:rsidTr="001348C7">
        <w:trPr>
          <w:cnfStyle w:val="000000100000" w:firstRow="0" w:lastRow="0" w:firstColumn="0" w:lastColumn="0" w:oddVBand="0" w:evenVBand="0" w:oddHBand="1" w:evenHBand="0" w:firstRowFirstColumn="0" w:firstRowLastColumn="0" w:lastRowFirstColumn="0" w:lastRowLastColumn="0"/>
          <w:trHeight w:val="1728"/>
        </w:trPr>
        <w:tc>
          <w:tcPr>
            <w:cnfStyle w:val="001000000000" w:firstRow="0" w:lastRow="0" w:firstColumn="1" w:lastColumn="0" w:oddVBand="0" w:evenVBand="0" w:oddHBand="0" w:evenHBand="0" w:firstRowFirstColumn="0" w:firstRowLastColumn="0" w:lastRowFirstColumn="0" w:lastRowLastColumn="0"/>
            <w:tcW w:w="2263" w:type="dxa"/>
          </w:tcPr>
          <w:p w14:paraId="6D689C8B" w14:textId="77777777" w:rsidR="00BF4005" w:rsidRPr="00BF4005" w:rsidRDefault="00BF4005" w:rsidP="00857FDD">
            <w:pPr>
              <w:pStyle w:val="NACCHOtext"/>
            </w:pPr>
            <w:r w:rsidRPr="00BF4005">
              <w:t>Pre-deployment assessment</w:t>
            </w:r>
            <w:r w:rsidRPr="00BF4005">
              <w:rPr>
                <w:vertAlign w:val="superscript"/>
              </w:rPr>
              <w:footnoteReference w:id="1"/>
            </w:r>
          </w:p>
        </w:tc>
        <w:tc>
          <w:tcPr>
            <w:tcW w:w="7230" w:type="dxa"/>
          </w:tcPr>
          <w:p w14:paraId="614A7A07" w14:textId="77777777" w:rsidR="00BF4005" w:rsidRPr="00BF4005" w:rsidRDefault="00BF4005" w:rsidP="00857FDD">
            <w:pPr>
              <w:pStyle w:val="NACCHOtext"/>
              <w:cnfStyle w:val="000000100000" w:firstRow="0" w:lastRow="0" w:firstColumn="0" w:lastColumn="0" w:oddVBand="0" w:evenVBand="0" w:oddHBand="1" w:evenHBand="0" w:firstRowFirstColumn="0" w:firstRowLastColumn="0" w:lastRowFirstColumn="0" w:lastRowLastColumn="0"/>
            </w:pPr>
            <w:r w:rsidRPr="00BF4005">
              <w:t xml:space="preserve">Assessment starts with the need, not the tool: the Organisation first defines the problem being solved or the need being met, then assesses candidate tools against it and considers ‘How does this tool improve outcomes for Aboriginal and Torres Strait Islander people? </w:t>
            </w:r>
          </w:p>
          <w:p w14:paraId="0138505D" w14:textId="77777777" w:rsidR="00BF4005" w:rsidRPr="00BF4005" w:rsidRDefault="00BF4005" w:rsidP="00857FDD">
            <w:pPr>
              <w:pStyle w:val="NACCHOtext"/>
              <w:cnfStyle w:val="000000100000" w:firstRow="0" w:lastRow="0" w:firstColumn="0" w:lastColumn="0" w:oddVBand="0" w:evenVBand="0" w:oddHBand="1" w:evenHBand="0" w:firstRowFirstColumn="0" w:firstRowLastColumn="0" w:lastRowFirstColumn="0" w:lastRowLastColumn="0"/>
            </w:pPr>
            <w:r w:rsidRPr="00BF4005">
              <w:t>The Framework is applied to a candidate tool before the procurement or deployment decision is made. Each domain is assessed against the key questions, with reference to the foundational principles. A tool that cannot satisfy the questions in any domain should not be deployed without remediation.</w:t>
            </w:r>
          </w:p>
        </w:tc>
      </w:tr>
      <w:tr w:rsidR="00BF4005" w:rsidRPr="00BF4005" w14:paraId="75EEC6FF" w14:textId="77777777" w:rsidTr="001348C7">
        <w:tc>
          <w:tcPr>
            <w:cnfStyle w:val="001000000000" w:firstRow="0" w:lastRow="0" w:firstColumn="1" w:lastColumn="0" w:oddVBand="0" w:evenVBand="0" w:oddHBand="0" w:evenHBand="0" w:firstRowFirstColumn="0" w:firstRowLastColumn="0" w:lastRowFirstColumn="0" w:lastRowLastColumn="0"/>
            <w:tcW w:w="2263" w:type="dxa"/>
            <w:shd w:val="clear" w:color="auto" w:fill="EBEBEB" w:themeFill="background2"/>
          </w:tcPr>
          <w:p w14:paraId="1FBB88D6" w14:textId="77777777" w:rsidR="00BF4005" w:rsidRPr="00BF4005" w:rsidRDefault="00BF4005" w:rsidP="00857FDD">
            <w:pPr>
              <w:pStyle w:val="NACCHOtext"/>
            </w:pPr>
            <w:r w:rsidRPr="00BF4005">
              <w:t>Deployment governance</w:t>
            </w:r>
          </w:p>
        </w:tc>
        <w:tc>
          <w:tcPr>
            <w:tcW w:w="7230" w:type="dxa"/>
            <w:shd w:val="clear" w:color="auto" w:fill="EBEBEB" w:themeFill="background2"/>
          </w:tcPr>
          <w:p w14:paraId="787D31DC" w14:textId="77777777" w:rsidR="00BF4005" w:rsidRPr="00BF4005" w:rsidRDefault="00BF4005" w:rsidP="00857FDD">
            <w:pPr>
              <w:pStyle w:val="NACCHOtext"/>
              <w:cnfStyle w:val="000000000000" w:firstRow="0" w:lastRow="0" w:firstColumn="0" w:lastColumn="0" w:oddVBand="0" w:evenVBand="0" w:oddHBand="0" w:evenHBand="0" w:firstRowFirstColumn="0" w:firstRowLastColumn="0" w:lastRowFirstColumn="0" w:lastRowLastColumn="0"/>
            </w:pPr>
            <w:r w:rsidRPr="00BF4005">
              <w:t>Where a tool is deployed, the Framework continues to operate. Clinical accountability, incident management, workforce oversight, and community engagement remain ongoing obligations agreed to by the Board.</w:t>
            </w:r>
          </w:p>
        </w:tc>
      </w:tr>
      <w:tr w:rsidR="00BF4005" w:rsidRPr="00BF4005" w14:paraId="79AECA29" w14:textId="77777777" w:rsidTr="001348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64550B10" w14:textId="77777777" w:rsidR="00BF4005" w:rsidRPr="00BF4005" w:rsidRDefault="00BF4005" w:rsidP="00857FDD">
            <w:pPr>
              <w:pStyle w:val="NACCHOtext"/>
            </w:pPr>
            <w:r w:rsidRPr="00BF4005">
              <w:t xml:space="preserve">Continuous evaluation </w:t>
            </w:r>
          </w:p>
        </w:tc>
        <w:tc>
          <w:tcPr>
            <w:tcW w:w="7230" w:type="dxa"/>
          </w:tcPr>
          <w:p w14:paraId="2D964A57" w14:textId="77777777" w:rsidR="00BF4005" w:rsidRPr="00BF4005" w:rsidRDefault="00BF4005" w:rsidP="00857FDD">
            <w:pPr>
              <w:pStyle w:val="NACCHOtext"/>
              <w:cnfStyle w:val="000000100000" w:firstRow="0" w:lastRow="0" w:firstColumn="0" w:lastColumn="0" w:oddVBand="0" w:evenVBand="0" w:oddHBand="1" w:evenHBand="0" w:firstRowFirstColumn="0" w:firstRowLastColumn="0" w:lastRowFirstColumn="0" w:lastRowLastColumn="0"/>
            </w:pPr>
            <w:r w:rsidRPr="00BF4005">
              <w:t>Each AI tool in use within the Organisation is continuously monitored against the Framework at a defined cadence, with findings reported to the Board and Senior Leaders.</w:t>
            </w:r>
          </w:p>
        </w:tc>
      </w:tr>
    </w:tbl>
    <w:p w14:paraId="2598C379" w14:textId="77777777" w:rsidR="00BF4005" w:rsidRPr="00BF4005" w:rsidRDefault="00BF4005" w:rsidP="00BF4005">
      <w:pPr>
        <w:keepNext/>
        <w:keepLines/>
        <w:spacing w:before="360" w:line="360" w:lineRule="exact"/>
        <w:outlineLvl w:val="1"/>
        <w:rPr>
          <w:rFonts w:ascii="Arial" w:eastAsiaTheme="majorEastAsia" w:hAnsi="Arial" w:cs="Arial"/>
          <w:b/>
          <w:color w:val="001441" w:themeColor="text1"/>
          <w:sz w:val="28"/>
          <w:szCs w:val="32"/>
        </w:rPr>
      </w:pPr>
      <w:bookmarkStart w:id="129" w:name="_Toc238474911"/>
      <w:bookmarkStart w:id="130" w:name="_Toc238475824"/>
      <w:bookmarkStart w:id="131" w:name="_Toc238562142"/>
      <w:bookmarkStart w:id="132" w:name="_Toc239257315"/>
      <w:bookmarkStart w:id="133" w:name="_Toc239257418"/>
      <w:bookmarkStart w:id="134" w:name="_Toc239257519"/>
      <w:bookmarkStart w:id="135" w:name="_Toc240894356"/>
      <w:bookmarkStart w:id="136" w:name="_Toc240894572"/>
      <w:bookmarkStart w:id="137" w:name="_Toc240897415"/>
      <w:bookmarkStart w:id="138" w:name="_Toc240897569"/>
      <w:bookmarkStart w:id="139" w:name="_Toc240956387"/>
      <w:r w:rsidRPr="00BF4005">
        <w:rPr>
          <w:rFonts w:ascii="Arial" w:eastAsiaTheme="majorEastAsia" w:hAnsi="Arial" w:cs="Arial"/>
          <w:b/>
          <w:color w:val="001441" w:themeColor="text1"/>
          <w:sz w:val="28"/>
          <w:szCs w:val="32"/>
        </w:rPr>
        <w:lastRenderedPageBreak/>
        <w:t>NACCHO-held sector functions</w:t>
      </w:r>
      <w:bookmarkEnd w:id="129"/>
      <w:bookmarkEnd w:id="130"/>
      <w:bookmarkEnd w:id="131"/>
      <w:bookmarkEnd w:id="132"/>
      <w:bookmarkEnd w:id="133"/>
      <w:bookmarkEnd w:id="134"/>
      <w:bookmarkEnd w:id="135"/>
      <w:bookmarkEnd w:id="136"/>
      <w:bookmarkEnd w:id="137"/>
      <w:bookmarkEnd w:id="138"/>
      <w:bookmarkEnd w:id="139"/>
    </w:p>
    <w:p w14:paraId="708FC8E7" w14:textId="77777777" w:rsidR="00BF4005" w:rsidRPr="00BF4005" w:rsidRDefault="00BF4005" w:rsidP="00857FDD">
      <w:pPr>
        <w:pStyle w:val="NACCHOtext"/>
      </w:pPr>
      <w:r w:rsidRPr="00BF4005">
        <w:t>Some functions sit at the sector level rather than within individual ACCHOs. NACCHO's role under the Framework will include:</w:t>
      </w:r>
    </w:p>
    <w:p w14:paraId="571B3EDA" w14:textId="77777777" w:rsidR="00BF4005" w:rsidRPr="00BF4005" w:rsidRDefault="00BF4005" w:rsidP="00857FDD">
      <w:pPr>
        <w:numPr>
          <w:ilvl w:val="0"/>
          <w:numId w:val="16"/>
        </w:numPr>
        <w:tabs>
          <w:tab w:val="clear" w:pos="284"/>
          <w:tab w:val="clear" w:pos="567"/>
          <w:tab w:val="clear" w:pos="851"/>
        </w:tabs>
        <w:spacing w:after="80"/>
        <w:ind w:left="544" w:hanging="272"/>
        <w:rPr>
          <w:rFonts w:ascii="Arial" w:hAnsi="Arial" w:cs="Arial"/>
        </w:rPr>
      </w:pPr>
      <w:r w:rsidRPr="00BF4005">
        <w:rPr>
          <w:rFonts w:ascii="Arial" w:hAnsi="Arial" w:cs="Arial"/>
        </w:rPr>
        <w:t>Holding and maintaining the Framework, including periodic revision in response to regulatory change and Sector feedback.</w:t>
      </w:r>
    </w:p>
    <w:p w14:paraId="4B4711A1" w14:textId="77777777" w:rsidR="00BF4005" w:rsidRPr="00BF4005" w:rsidRDefault="00BF4005" w:rsidP="00857FDD">
      <w:pPr>
        <w:numPr>
          <w:ilvl w:val="0"/>
          <w:numId w:val="16"/>
        </w:numPr>
        <w:tabs>
          <w:tab w:val="clear" w:pos="284"/>
          <w:tab w:val="clear" w:pos="567"/>
          <w:tab w:val="clear" w:pos="851"/>
        </w:tabs>
        <w:spacing w:after="80"/>
        <w:ind w:left="544" w:hanging="272"/>
        <w:rPr>
          <w:rFonts w:ascii="Arial" w:hAnsi="Arial" w:cs="Arial"/>
        </w:rPr>
      </w:pPr>
      <w:r w:rsidRPr="00BF4005">
        <w:rPr>
          <w:rFonts w:ascii="Arial" w:hAnsi="Arial" w:cs="Arial"/>
        </w:rPr>
        <w:t>Supporting ACCHOs to apply the Framework through sector-level resources, such as shared templates, webinars, training materials and assessment tools, rather than one-to-one implementation support.</w:t>
      </w:r>
    </w:p>
    <w:p w14:paraId="007C1E91" w14:textId="77777777" w:rsidR="00BF4005" w:rsidRPr="00BF4005" w:rsidRDefault="00BF4005" w:rsidP="00857FDD">
      <w:pPr>
        <w:numPr>
          <w:ilvl w:val="0"/>
          <w:numId w:val="16"/>
        </w:numPr>
        <w:tabs>
          <w:tab w:val="clear" w:pos="284"/>
          <w:tab w:val="clear" w:pos="567"/>
          <w:tab w:val="clear" w:pos="851"/>
        </w:tabs>
        <w:spacing w:after="80"/>
        <w:ind w:left="544" w:hanging="272"/>
        <w:rPr>
          <w:rFonts w:ascii="Arial" w:hAnsi="Arial" w:cs="Arial"/>
        </w:rPr>
      </w:pPr>
      <w:r w:rsidRPr="00BF4005">
        <w:rPr>
          <w:rFonts w:ascii="Arial" w:hAnsi="Arial" w:cs="Arial"/>
        </w:rPr>
        <w:t>Working with State and Territory Affiliates to deliver regional implementation support, training workshops and shared infrastructure where this is more beneficial than national delivery.</w:t>
      </w:r>
    </w:p>
    <w:p w14:paraId="34AD4252" w14:textId="77777777" w:rsidR="00BF4005" w:rsidRPr="00BF4005" w:rsidRDefault="00BF4005" w:rsidP="00857FDD">
      <w:pPr>
        <w:numPr>
          <w:ilvl w:val="0"/>
          <w:numId w:val="16"/>
        </w:numPr>
        <w:tabs>
          <w:tab w:val="clear" w:pos="284"/>
          <w:tab w:val="clear" w:pos="567"/>
          <w:tab w:val="clear" w:pos="851"/>
        </w:tabs>
        <w:spacing w:after="240"/>
        <w:ind w:left="544" w:hanging="272"/>
        <w:rPr>
          <w:rFonts w:ascii="Arial" w:hAnsi="Arial" w:cs="Arial"/>
        </w:rPr>
      </w:pPr>
      <w:r w:rsidRPr="00BF4005">
        <w:rPr>
          <w:rFonts w:ascii="Arial" w:hAnsi="Arial" w:cs="Arial"/>
        </w:rPr>
        <w:t>Representing the ACCHO sector in national AI governance and digital health forums.</w:t>
      </w:r>
    </w:p>
    <w:p w14:paraId="75D60C9E" w14:textId="77777777" w:rsidR="00BF4005" w:rsidRPr="00BF4005" w:rsidRDefault="00BF4005" w:rsidP="00BF4005">
      <w:pPr>
        <w:keepNext/>
        <w:keepLines/>
        <w:spacing w:before="360" w:line="360" w:lineRule="exact"/>
        <w:outlineLvl w:val="1"/>
        <w:rPr>
          <w:rFonts w:ascii="Arial" w:eastAsiaTheme="majorEastAsia" w:hAnsi="Arial" w:cs="Arial"/>
          <w:b/>
          <w:color w:val="001441" w:themeColor="text1"/>
          <w:sz w:val="28"/>
          <w:szCs w:val="32"/>
        </w:rPr>
      </w:pPr>
      <w:bookmarkStart w:id="140" w:name="_Toc238474912"/>
      <w:bookmarkStart w:id="141" w:name="_Toc238475825"/>
      <w:bookmarkStart w:id="142" w:name="_Toc238562143"/>
      <w:bookmarkStart w:id="143" w:name="_Toc239257316"/>
      <w:bookmarkStart w:id="144" w:name="_Toc239257419"/>
      <w:bookmarkStart w:id="145" w:name="_Toc239257520"/>
      <w:bookmarkStart w:id="146" w:name="_Toc240894357"/>
      <w:bookmarkStart w:id="147" w:name="_Toc240894573"/>
      <w:bookmarkStart w:id="148" w:name="_Toc240897416"/>
      <w:bookmarkStart w:id="149" w:name="_Toc240897570"/>
      <w:bookmarkStart w:id="150" w:name="_Toc240956388"/>
      <w:r w:rsidRPr="00BF4005">
        <w:rPr>
          <w:rFonts w:ascii="Arial" w:eastAsiaTheme="majorEastAsia" w:hAnsi="Arial" w:cs="Arial"/>
          <w:b/>
          <w:color w:val="001441" w:themeColor="text1"/>
          <w:sz w:val="28"/>
          <w:szCs w:val="32"/>
        </w:rPr>
        <w:t>Relationship with existing frameworks and guidance</w:t>
      </w:r>
      <w:bookmarkEnd w:id="140"/>
      <w:bookmarkEnd w:id="141"/>
      <w:bookmarkEnd w:id="142"/>
      <w:bookmarkEnd w:id="143"/>
      <w:bookmarkEnd w:id="144"/>
      <w:bookmarkEnd w:id="145"/>
      <w:bookmarkEnd w:id="146"/>
      <w:bookmarkEnd w:id="147"/>
      <w:bookmarkEnd w:id="148"/>
      <w:bookmarkEnd w:id="149"/>
      <w:bookmarkEnd w:id="150"/>
      <w:r w:rsidRPr="00BF4005">
        <w:rPr>
          <w:rFonts w:ascii="Arial" w:eastAsiaTheme="majorEastAsia" w:hAnsi="Arial" w:cs="Arial"/>
          <w:b/>
          <w:color w:val="001441" w:themeColor="text1"/>
          <w:sz w:val="28"/>
          <w:szCs w:val="32"/>
        </w:rPr>
        <w:t xml:space="preserve"> </w:t>
      </w:r>
    </w:p>
    <w:p w14:paraId="2FAF0405" w14:textId="77777777" w:rsidR="00BF4005" w:rsidRPr="00BF4005" w:rsidRDefault="00BF4005" w:rsidP="000064D0">
      <w:pPr>
        <w:pStyle w:val="NACCHOtext"/>
        <w:spacing w:after="100" w:afterAutospacing="1"/>
      </w:pPr>
      <w:r w:rsidRPr="00BF4005">
        <w:t>The Framework is designed to operate alongside, and not in place of, existing clinical governance frameworks and regulation. ACCHOs using Digital Mental Health tools accredited under the NSQDMH Standards, or other sector-specific accreditation schemes will find the Framework reinforces existing obligations rather than duplicating them. Where the Framework introduces new obligations, these are specific to AI-enabled tools and reflect the unique governance requirements of ACCHOs.</w:t>
      </w:r>
    </w:p>
    <w:p w14:paraId="7673C140" w14:textId="1374DC4F" w:rsidR="00546D3C" w:rsidRPr="008E2C36" w:rsidRDefault="00546D3C" w:rsidP="00546D3C">
      <w:pPr>
        <w:pStyle w:val="Heading1"/>
        <w:spacing w:after="120"/>
        <w:rPr>
          <w:rFonts w:ascii="Arial" w:hAnsi="Arial" w:cs="Arial"/>
          <w:color w:val="002060"/>
        </w:rPr>
      </w:pPr>
      <w:bookmarkStart w:id="151" w:name="_Toc238474901"/>
      <w:bookmarkStart w:id="152" w:name="_Toc238475814"/>
      <w:bookmarkStart w:id="153" w:name="_Toc238562132"/>
      <w:bookmarkStart w:id="154" w:name="_Toc239257318"/>
      <w:bookmarkStart w:id="155" w:name="_Toc239257421"/>
      <w:bookmarkStart w:id="156" w:name="_Toc239257522"/>
      <w:bookmarkStart w:id="157" w:name="_Toc240894359"/>
      <w:bookmarkStart w:id="158" w:name="_Toc240897571"/>
      <w:bookmarkStart w:id="159" w:name="_Toc240956389"/>
      <w:bookmarkStart w:id="160" w:name="_Toc240956434"/>
      <w:bookmarkStart w:id="161" w:name="_Toc240960032"/>
      <w:r>
        <w:rPr>
          <w:rFonts w:ascii="Arial" w:hAnsi="Arial" w:cs="Arial"/>
          <w:color w:val="002060"/>
        </w:rPr>
        <w:lastRenderedPageBreak/>
        <w:t>5. Foundational principles</w:t>
      </w:r>
      <w:bookmarkEnd w:id="151"/>
      <w:bookmarkEnd w:id="152"/>
      <w:bookmarkEnd w:id="153"/>
      <w:bookmarkEnd w:id="154"/>
      <w:bookmarkEnd w:id="155"/>
      <w:bookmarkEnd w:id="156"/>
      <w:bookmarkEnd w:id="157"/>
      <w:r w:rsidR="001348C7">
        <w:rPr>
          <w:rFonts w:ascii="Arial" w:hAnsi="Arial" w:cs="Arial"/>
          <w:color w:val="002060"/>
        </w:rPr>
        <w:t xml:space="preserve"> </w:t>
      </w:r>
      <w:r w:rsidR="001348C7" w:rsidRPr="001348C7">
        <w:rPr>
          <w:rFonts w:ascii="Arial" w:hAnsi="Arial" w:cs="Arial"/>
          <w:color w:val="002060"/>
        </w:rPr>
        <w:t>for AI Governance in ACCHOs</w:t>
      </w:r>
      <w:bookmarkEnd w:id="158"/>
      <w:bookmarkEnd w:id="159"/>
      <w:bookmarkEnd w:id="160"/>
      <w:bookmarkEnd w:id="161"/>
    </w:p>
    <w:p w14:paraId="51C99D60" w14:textId="77777777" w:rsidR="00546D3C" w:rsidRPr="006F75DC" w:rsidRDefault="00546D3C" w:rsidP="00857FDD">
      <w:pPr>
        <w:pStyle w:val="NACCHOtext"/>
      </w:pPr>
      <w:r>
        <w:t xml:space="preserve">Four foundational principles operate as the overarching basis for safe and responsible AI use across every domain of the Framework. The principles are the lens through which each of the Framework’s domains are assessed against. An ACCHO should ideally consider culturally safe AI deployment by addressing these principles where possible.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7F4" w:themeFill="accent5" w:themeFillTint="33"/>
        <w:tblCellMar>
          <w:left w:w="10" w:type="dxa"/>
          <w:right w:w="10" w:type="dxa"/>
        </w:tblCellMar>
        <w:tblLook w:val="0000" w:firstRow="0" w:lastRow="0" w:firstColumn="0" w:lastColumn="0" w:noHBand="0" w:noVBand="0"/>
      </w:tblPr>
      <w:tblGrid>
        <w:gridCol w:w="9918"/>
      </w:tblGrid>
      <w:tr w:rsidR="00546D3C" w:rsidRPr="006F75DC" w14:paraId="3C0D8C95" w14:textId="77777777" w:rsidTr="00857FDD">
        <w:trPr>
          <w:trHeight w:val="4777"/>
        </w:trPr>
        <w:tc>
          <w:tcPr>
            <w:tcW w:w="9918" w:type="dxa"/>
            <w:tcBorders>
              <w:top w:val="single" w:sz="12" w:space="0" w:color="4982D5"/>
              <w:left w:val="single" w:sz="4" w:space="0" w:color="D5DBE0"/>
              <w:bottom w:val="single" w:sz="4" w:space="0" w:color="D5DBE0"/>
              <w:right w:val="single" w:sz="4" w:space="0" w:color="D5DBE0"/>
            </w:tcBorders>
            <w:shd w:val="clear" w:color="auto" w:fill="E6E7F4" w:themeFill="accent5" w:themeFillTint="33"/>
            <w:tcMar>
              <w:top w:w="160" w:type="dxa"/>
              <w:left w:w="240" w:type="dxa"/>
              <w:bottom w:w="160" w:type="dxa"/>
              <w:right w:w="240" w:type="dxa"/>
            </w:tcMar>
          </w:tcPr>
          <w:p w14:paraId="3EA73FB8" w14:textId="77777777" w:rsidR="00546D3C" w:rsidRPr="00922857" w:rsidRDefault="00546D3C" w:rsidP="00DC543A">
            <w:pPr>
              <w:spacing w:after="80"/>
              <w:rPr>
                <w:rFonts w:ascii="Arial" w:hAnsi="Arial" w:cs="Arial"/>
                <w:b/>
                <w:bCs/>
                <w:szCs w:val="20"/>
              </w:rPr>
            </w:pPr>
            <w:r w:rsidRPr="00D52A59">
              <w:rPr>
                <w:rFonts w:ascii="Arial" w:hAnsi="Arial" w:cs="Arial"/>
                <w:b/>
                <w:bCs/>
                <w:color w:val="333C72" w:themeColor="accent5" w:themeShade="80"/>
                <w:szCs w:val="20"/>
              </w:rPr>
              <w:t>FOUNDATIONAL PRINCIPLE 1: INDIGENOUS DATA SOVEREIGNTY AND GOVERNANCE</w:t>
            </w:r>
          </w:p>
          <w:p w14:paraId="31445980" w14:textId="77777777" w:rsidR="00546D3C" w:rsidRPr="00922857" w:rsidRDefault="00546D3C" w:rsidP="00857FDD">
            <w:pPr>
              <w:pStyle w:val="NACCHOtext"/>
            </w:pPr>
            <w:r w:rsidRPr="00922857">
              <w:t xml:space="preserve">Data about Aboriginal and Torres Strait Islander people, including data generated by AI tools used in ACCHO settings, is the property of Aboriginal and Torres Strait Islander people. The </w:t>
            </w:r>
            <w:proofErr w:type="spellStart"/>
            <w:r w:rsidRPr="00922857">
              <w:t>Maiam</w:t>
            </w:r>
            <w:proofErr w:type="spellEnd"/>
            <w:r w:rsidRPr="00922857">
              <w:t xml:space="preserve"> </w:t>
            </w:r>
            <w:proofErr w:type="spellStart"/>
            <w:r w:rsidRPr="00922857">
              <w:t>nayri</w:t>
            </w:r>
            <w:proofErr w:type="spellEnd"/>
            <w:r w:rsidRPr="00922857">
              <w:t xml:space="preserve"> </w:t>
            </w:r>
            <w:proofErr w:type="spellStart"/>
            <w:r w:rsidRPr="00922857">
              <w:t>Wingara</w:t>
            </w:r>
            <w:proofErr w:type="spellEnd"/>
            <w:r w:rsidRPr="00922857">
              <w:t xml:space="preserve"> principles apply across the AI lifecycle, including training data, deployment data, model outputs and any onward use where permitted for model re-training. Indigenous Data Governance gives the principle practical effect: the mechanisms by which communities control how data is collected, accessed, used and reused. </w:t>
            </w:r>
          </w:p>
          <w:p w14:paraId="262A4D4E" w14:textId="77777777" w:rsidR="00546D3C" w:rsidRPr="00922857" w:rsidRDefault="00546D3C" w:rsidP="00857FDD">
            <w:pPr>
              <w:pStyle w:val="NACCHOtext"/>
            </w:pPr>
            <w:r w:rsidRPr="00922857">
              <w:t xml:space="preserve">Indigenous Cultural and Intellectual Property (ICIP) sits alongside data sovereignty as a distinct concept: traditional knowledge, language, kinship, story and cultural expression that feeds into or is generated by an AI tool is governed by </w:t>
            </w:r>
            <w:r>
              <w:t>C</w:t>
            </w:r>
            <w:r w:rsidRPr="00922857">
              <w:t xml:space="preserve">ommunity on </w:t>
            </w:r>
            <w:r>
              <w:t>C</w:t>
            </w:r>
            <w:r w:rsidRPr="00922857">
              <w:t>ommunity’s terms, including how it is contained, stored, shared and withdrawn.</w:t>
            </w:r>
          </w:p>
          <w:p w14:paraId="3FE47FF4" w14:textId="77777777" w:rsidR="00546D3C" w:rsidRPr="006F75DC" w:rsidRDefault="00546D3C" w:rsidP="00857FDD">
            <w:pPr>
              <w:pStyle w:val="NACCHOtext"/>
            </w:pPr>
            <w:r w:rsidRPr="00922857">
              <w:t>Full realisation of this principle will not always be possible. Vendors may not disclose training data provenance, and global models may have been trained without consent on data the Organisation cannot retrospectively control. Similarly, a critical clinical capability may only be available through an AI tool that cannot meet Indigenous Data Sovereignty and Governance in full. The principle does not weaken in those cases. The Organisation’s obligation is to recognise a potential gap, justify it, mitigate where it can, and document it.</w:t>
            </w:r>
          </w:p>
        </w:tc>
      </w:tr>
    </w:tbl>
    <w:p w14:paraId="6ED6FAE8" w14:textId="77777777" w:rsidR="00546D3C" w:rsidRPr="00AF14A4" w:rsidRDefault="00546D3C" w:rsidP="008D0A19">
      <w:pPr>
        <w:spacing w:after="0" w:line="240" w:lineRule="auto"/>
        <w:rPr>
          <w:rFonts w:ascii="Arial" w:hAnsi="Arial" w:cs="Arial"/>
          <w:sz w:val="8"/>
          <w:szCs w:val="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18"/>
      </w:tblGrid>
      <w:tr w:rsidR="00546D3C" w:rsidRPr="006F75DC" w14:paraId="40AA148F" w14:textId="77777777" w:rsidTr="008D0A19">
        <w:tc>
          <w:tcPr>
            <w:tcW w:w="9918" w:type="dxa"/>
            <w:tcBorders>
              <w:top w:val="single" w:sz="12" w:space="0" w:color="4982D5"/>
              <w:left w:val="single" w:sz="4" w:space="0" w:color="D5DBE0"/>
              <w:bottom w:val="single" w:sz="4" w:space="0" w:color="D5DBE0"/>
              <w:right w:val="single" w:sz="4" w:space="0" w:color="D5DBE0"/>
            </w:tcBorders>
            <w:shd w:val="clear" w:color="auto" w:fill="E6E7F4" w:themeFill="accent5" w:themeFillTint="33"/>
            <w:tcMar>
              <w:top w:w="160" w:type="dxa"/>
              <w:left w:w="240" w:type="dxa"/>
              <w:bottom w:w="160" w:type="dxa"/>
              <w:right w:w="240" w:type="dxa"/>
            </w:tcMar>
          </w:tcPr>
          <w:p w14:paraId="48647AC3" w14:textId="77777777" w:rsidR="00546D3C" w:rsidRPr="0080338D" w:rsidRDefault="00546D3C" w:rsidP="00DC543A">
            <w:pPr>
              <w:spacing w:after="80"/>
              <w:rPr>
                <w:rFonts w:ascii="Arial" w:hAnsi="Arial" w:cs="Arial"/>
                <w:b/>
                <w:bCs/>
                <w:color w:val="333C72" w:themeColor="accent5" w:themeShade="80"/>
                <w:szCs w:val="20"/>
              </w:rPr>
            </w:pPr>
            <w:r w:rsidRPr="0080338D">
              <w:rPr>
                <w:rFonts w:ascii="Arial" w:hAnsi="Arial" w:cs="Arial"/>
                <w:b/>
                <w:bCs/>
                <w:color w:val="333C72" w:themeColor="accent5" w:themeShade="80"/>
                <w:szCs w:val="20"/>
              </w:rPr>
              <w:t>FOUNDATIONAL PRINCIPLE 2: CULTURAL SAFETY</w:t>
            </w:r>
          </w:p>
          <w:p w14:paraId="51C654A5" w14:textId="77777777" w:rsidR="00546D3C" w:rsidRPr="00553BD9" w:rsidRDefault="00546D3C" w:rsidP="00857FDD">
            <w:pPr>
              <w:pStyle w:val="NACCHOtext"/>
            </w:pPr>
            <w:r w:rsidRPr="00922857">
              <w:t>AI tools deployed in ACCHO settings should be culturally safe in design, deployment and use. Cultural safety is determined by Aboriginal and Torres Strait Islander people, not by the deploying organisation or vendor. This applies to language, kinship structures, communication style and clinical interpretation.</w:t>
            </w:r>
          </w:p>
        </w:tc>
      </w:tr>
    </w:tbl>
    <w:p w14:paraId="57E38AE3" w14:textId="77777777" w:rsidR="00546D3C" w:rsidRPr="00AF14A4" w:rsidRDefault="00546D3C" w:rsidP="008D0A19">
      <w:pPr>
        <w:spacing w:after="0" w:line="240" w:lineRule="auto"/>
        <w:rPr>
          <w:rFonts w:ascii="Arial" w:hAnsi="Arial" w:cs="Arial"/>
          <w:sz w:val="6"/>
          <w:szCs w:val="6"/>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18"/>
      </w:tblGrid>
      <w:tr w:rsidR="00546D3C" w:rsidRPr="006F75DC" w14:paraId="5ABF041C" w14:textId="77777777" w:rsidTr="008D0A19">
        <w:trPr>
          <w:trHeight w:val="1181"/>
        </w:trPr>
        <w:tc>
          <w:tcPr>
            <w:tcW w:w="9918" w:type="dxa"/>
            <w:tcBorders>
              <w:top w:val="single" w:sz="12" w:space="0" w:color="4982D5"/>
              <w:left w:val="single" w:sz="4" w:space="0" w:color="D5DBE0"/>
              <w:bottom w:val="single" w:sz="4" w:space="0" w:color="D5DBE0"/>
              <w:right w:val="single" w:sz="4" w:space="0" w:color="D5DBE0"/>
            </w:tcBorders>
            <w:shd w:val="clear" w:color="auto" w:fill="E6E7F4" w:themeFill="accent5" w:themeFillTint="33"/>
            <w:tcMar>
              <w:top w:w="160" w:type="dxa"/>
              <w:left w:w="240" w:type="dxa"/>
              <w:bottom w:w="160" w:type="dxa"/>
              <w:right w:w="240" w:type="dxa"/>
            </w:tcMar>
          </w:tcPr>
          <w:p w14:paraId="4F54179B" w14:textId="77777777" w:rsidR="00546D3C" w:rsidRPr="0080338D" w:rsidRDefault="00546D3C" w:rsidP="00DC543A">
            <w:pPr>
              <w:spacing w:after="80"/>
              <w:rPr>
                <w:rFonts w:ascii="Arial" w:hAnsi="Arial" w:cs="Arial"/>
                <w:color w:val="333C72" w:themeColor="accent5" w:themeShade="80"/>
                <w:szCs w:val="20"/>
              </w:rPr>
            </w:pPr>
            <w:r w:rsidRPr="0080338D">
              <w:rPr>
                <w:rFonts w:ascii="Arial" w:hAnsi="Arial" w:cs="Arial"/>
                <w:b/>
                <w:bCs/>
                <w:color w:val="333C72" w:themeColor="accent5" w:themeShade="80"/>
                <w:szCs w:val="20"/>
              </w:rPr>
              <w:t>FOUNDATIONAL PRINCIPLE 3:  COMMUNITY AUTHORITY</w:t>
            </w:r>
          </w:p>
          <w:p w14:paraId="681A79C9" w14:textId="77777777" w:rsidR="00546D3C" w:rsidRPr="00922857" w:rsidRDefault="00546D3C" w:rsidP="00857FDD">
            <w:pPr>
              <w:pStyle w:val="NACCHOtext"/>
              <w:rPr>
                <w:sz w:val="18"/>
                <w:szCs w:val="18"/>
              </w:rPr>
            </w:pPr>
            <w:r w:rsidRPr="00922857">
              <w:t xml:space="preserve">Decisions about whether, when, and how to deploy AI tools sit with the ACCHO Board, </w:t>
            </w:r>
            <w:r>
              <w:t>as determined by</w:t>
            </w:r>
            <w:r w:rsidRPr="00922857">
              <w:t xml:space="preserve"> the community it serves. Vendors and individual clinicians do not deploy without this authority. The Organisation deploys, with community knowledge, </w:t>
            </w:r>
            <w:r>
              <w:t>authority</w:t>
            </w:r>
            <w:r w:rsidRPr="00922857">
              <w:t xml:space="preserve"> and consent.</w:t>
            </w:r>
          </w:p>
        </w:tc>
      </w:tr>
    </w:tbl>
    <w:p w14:paraId="6D0D9C2E" w14:textId="77777777" w:rsidR="00546D3C" w:rsidRDefault="00546D3C" w:rsidP="008D0A19">
      <w:pPr>
        <w:spacing w:after="0" w:line="240" w:lineRule="auto"/>
        <w:rPr>
          <w:rFonts w:ascii="Arial" w:hAnsi="Arial" w:cs="Arial"/>
          <w:sz w:val="6"/>
          <w:szCs w:val="6"/>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18"/>
      </w:tblGrid>
      <w:tr w:rsidR="00823E89" w14:paraId="5C528134" w14:textId="77777777" w:rsidTr="00DC543A">
        <w:trPr>
          <w:trHeight w:val="1680"/>
        </w:trPr>
        <w:tc>
          <w:tcPr>
            <w:tcW w:w="9918" w:type="dxa"/>
            <w:tcBorders>
              <w:top w:val="single" w:sz="12" w:space="0" w:color="4982D5"/>
              <w:left w:val="single" w:sz="4" w:space="0" w:color="D5DBE0"/>
              <w:bottom w:val="single" w:sz="4" w:space="0" w:color="D5DBE0"/>
              <w:right w:val="single" w:sz="4" w:space="0" w:color="D5DBE0"/>
            </w:tcBorders>
            <w:shd w:val="clear" w:color="auto" w:fill="E6E7F4" w:themeFill="accent5" w:themeFillTint="33"/>
            <w:tcMar>
              <w:top w:w="160" w:type="dxa"/>
              <w:left w:w="240" w:type="dxa"/>
              <w:bottom w:w="160" w:type="dxa"/>
              <w:right w:w="240" w:type="dxa"/>
            </w:tcMar>
          </w:tcPr>
          <w:p w14:paraId="22E98342" w14:textId="77777777" w:rsidR="00823E89" w:rsidRPr="0080338D" w:rsidRDefault="00823E89" w:rsidP="00DC543A">
            <w:pPr>
              <w:spacing w:after="80"/>
              <w:rPr>
                <w:rFonts w:ascii="Arial" w:hAnsi="Arial" w:cs="Arial"/>
                <w:color w:val="333C72" w:themeColor="accent5" w:themeShade="80"/>
                <w:szCs w:val="20"/>
              </w:rPr>
            </w:pPr>
            <w:r w:rsidRPr="0080338D">
              <w:rPr>
                <w:rFonts w:ascii="Arial" w:hAnsi="Arial" w:cs="Arial"/>
                <w:b/>
                <w:bCs/>
                <w:color w:val="333C72" w:themeColor="accent5" w:themeShade="80"/>
                <w:szCs w:val="20"/>
              </w:rPr>
              <w:t>FOUNDATIONAL PRINCIPLE 4:  HUMAN JUDGEMENT</w:t>
            </w:r>
          </w:p>
          <w:p w14:paraId="735D45FA" w14:textId="0D6A18F0" w:rsidR="00823E89" w:rsidRDefault="00823E89" w:rsidP="00DC543A">
            <w:pPr>
              <w:pStyle w:val="NACCHOtext"/>
            </w:pPr>
            <w:r w:rsidRPr="00922857">
              <w:t xml:space="preserve">AI tools must only augment human work and not substitute it. Clinical, administrative and governance decisions are made by people, with AI as one input into a </w:t>
            </w:r>
            <w:r w:rsidR="006838ED" w:rsidRPr="00922857">
              <w:t>decision-making</w:t>
            </w:r>
            <w:r w:rsidRPr="00922857">
              <w:t xml:space="preserve"> process. Final accountability sits with clinicians, managers, or Board members making a decision, not with the tool, the vendor or the model itself. An AI tool that, by design or by deployment, removes the human from the decision is not consistent with this Framework.</w:t>
            </w:r>
          </w:p>
        </w:tc>
      </w:tr>
    </w:tbl>
    <w:p w14:paraId="1E942D2F" w14:textId="77777777" w:rsidR="00052729" w:rsidRDefault="00052729" w:rsidP="008D0A19">
      <w:pPr>
        <w:spacing w:after="0" w:line="240" w:lineRule="auto"/>
        <w:rPr>
          <w:rFonts w:ascii="Arial" w:hAnsi="Arial" w:cs="Arial"/>
          <w:sz w:val="6"/>
          <w:szCs w:val="6"/>
        </w:rPr>
      </w:pPr>
    </w:p>
    <w:p w14:paraId="53F1D8A8" w14:textId="77777777" w:rsidR="00823E89" w:rsidRPr="00AF14A4" w:rsidRDefault="00823E89" w:rsidP="008D0A19">
      <w:pPr>
        <w:spacing w:after="0" w:line="240" w:lineRule="auto"/>
        <w:rPr>
          <w:rFonts w:ascii="Arial" w:hAnsi="Arial" w:cs="Arial"/>
          <w:sz w:val="6"/>
          <w:szCs w:val="6"/>
        </w:rPr>
      </w:pPr>
    </w:p>
    <w:p w14:paraId="29E14E11" w14:textId="77777777" w:rsidR="00052729" w:rsidRDefault="00052729" w:rsidP="00052729">
      <w:pPr>
        <w:pStyle w:val="Heading1"/>
        <w:spacing w:after="120"/>
        <w:rPr>
          <w:rFonts w:ascii="Arial" w:hAnsi="Arial" w:cs="Arial"/>
          <w:color w:val="002060"/>
        </w:rPr>
        <w:sectPr w:rsidR="00052729" w:rsidSect="00884EAA">
          <w:headerReference w:type="first" r:id="rId27"/>
          <w:pgSz w:w="11900" w:h="16840"/>
          <w:pgMar w:top="1021" w:right="1134" w:bottom="1418" w:left="1134" w:header="567" w:footer="454" w:gutter="0"/>
          <w:cols w:space="708"/>
          <w:docGrid w:linePitch="360"/>
        </w:sectPr>
      </w:pPr>
      <w:bookmarkStart w:id="162" w:name="_Toc238474902"/>
      <w:bookmarkStart w:id="163" w:name="_Toc238475815"/>
      <w:bookmarkStart w:id="164" w:name="_Toc238562133"/>
      <w:bookmarkStart w:id="165" w:name="_Toc239257319"/>
      <w:bookmarkStart w:id="166" w:name="_Toc239257422"/>
      <w:bookmarkStart w:id="167" w:name="_Toc239257523"/>
      <w:bookmarkStart w:id="168" w:name="_Toc240894360"/>
      <w:bookmarkStart w:id="169" w:name="_Toc240897572"/>
    </w:p>
    <w:p w14:paraId="58802CD8" w14:textId="746A7723" w:rsidR="007403A5" w:rsidRPr="008E2C36" w:rsidRDefault="00537380" w:rsidP="007403A5">
      <w:pPr>
        <w:pStyle w:val="Heading1"/>
        <w:spacing w:after="120"/>
        <w:rPr>
          <w:rFonts w:ascii="Arial" w:hAnsi="Arial" w:cs="Arial"/>
          <w:color w:val="002060"/>
        </w:rPr>
      </w:pPr>
      <w:bookmarkStart w:id="170" w:name="_Toc240956390"/>
      <w:bookmarkStart w:id="171" w:name="_Toc240956435"/>
      <w:bookmarkStart w:id="172" w:name="_Toc240960033"/>
      <w:r>
        <w:rPr>
          <w:noProof/>
        </w:rPr>
        <w:lastRenderedPageBreak/>
        <w:drawing>
          <wp:anchor distT="0" distB="0" distL="114300" distR="114300" simplePos="0" relativeHeight="251658246" behindDoc="1" locked="0" layoutInCell="1" allowOverlap="1" wp14:anchorId="15CEA022" wp14:editId="05F26A0A">
            <wp:simplePos x="0" y="0"/>
            <wp:positionH relativeFrom="page">
              <wp:posOffset>-35560</wp:posOffset>
            </wp:positionH>
            <wp:positionV relativeFrom="page">
              <wp:posOffset>13335</wp:posOffset>
            </wp:positionV>
            <wp:extent cx="10767459" cy="887506"/>
            <wp:effectExtent l="0" t="0" r="0" b="0"/>
            <wp:wrapNone/>
            <wp:docPr id="100467010" name="Picture 4" descr="The image depicts a vibrant, multicolored, swirling pattern that forms a dynamic, abstract wave-like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7010" name="Picture 4" descr="The image depicts a vibrant, multicolored, swirling pattern that forms a dynamic, abstract wave-like design.&#10;&#10;AI-generated content may be incorrect."/>
                    <pic:cNvPicPr/>
                  </pic:nvPicPr>
                  <pic:blipFill>
                    <a:blip r:embed="rId28">
                      <a:extLst>
                        <a:ext uri="{28A0092B-C50C-407E-A947-70E740481C1C}">
                          <a14:useLocalDpi xmlns:a14="http://schemas.microsoft.com/office/drawing/2010/main" val="0"/>
                        </a:ext>
                      </a:extLst>
                    </a:blip>
                    <a:stretch>
                      <a:fillRect/>
                    </a:stretch>
                  </pic:blipFill>
                  <pic:spPr>
                    <a:xfrm>
                      <a:off x="0" y="0"/>
                      <a:ext cx="10767459" cy="887506"/>
                    </a:xfrm>
                    <a:prstGeom prst="rect">
                      <a:avLst/>
                    </a:prstGeom>
                  </pic:spPr>
                </pic:pic>
              </a:graphicData>
            </a:graphic>
            <wp14:sizeRelH relativeFrom="margin">
              <wp14:pctWidth>0</wp14:pctWidth>
            </wp14:sizeRelH>
            <wp14:sizeRelV relativeFrom="margin">
              <wp14:pctHeight>0</wp14:pctHeight>
            </wp14:sizeRelV>
          </wp:anchor>
        </w:drawing>
      </w:r>
      <w:r w:rsidR="007403A5">
        <w:rPr>
          <w:rFonts w:ascii="Arial" w:hAnsi="Arial" w:cs="Arial"/>
          <w:color w:val="002060"/>
        </w:rPr>
        <w:t>6. Framework domains</w:t>
      </w:r>
      <w:bookmarkEnd w:id="162"/>
      <w:bookmarkEnd w:id="163"/>
      <w:bookmarkEnd w:id="164"/>
      <w:bookmarkEnd w:id="165"/>
      <w:bookmarkEnd w:id="166"/>
      <w:bookmarkEnd w:id="167"/>
      <w:bookmarkEnd w:id="168"/>
      <w:bookmarkEnd w:id="169"/>
      <w:bookmarkEnd w:id="170"/>
      <w:bookmarkEnd w:id="171"/>
      <w:bookmarkEnd w:id="172"/>
    </w:p>
    <w:p w14:paraId="484547B7" w14:textId="7FC0B30A" w:rsidR="007403A5" w:rsidRDefault="007403A5" w:rsidP="00B90CC9">
      <w:pPr>
        <w:pStyle w:val="NACCHOtext"/>
      </w:pPr>
      <w:r>
        <w:t xml:space="preserve">The Framework is organised around six operational domains. Each domain addresses a specific category of governance and risk, asking a defined set of questions of the deploying ACCHO, with the foundational principles applying across every domain. The six domains are described below in </w:t>
      </w:r>
      <w:r w:rsidRPr="00C16313">
        <w:rPr>
          <w:b/>
          <w:bCs/>
        </w:rPr>
        <w:t>Figure 1.</w:t>
      </w:r>
    </w:p>
    <w:p w14:paraId="06D6C0EC" w14:textId="56BEE52B" w:rsidR="00E0718A" w:rsidRDefault="00E0718A" w:rsidP="007403A5">
      <w:pPr>
        <w:spacing w:after="140" w:line="300" w:lineRule="auto"/>
        <w:rPr>
          <w:rFonts w:ascii="Arial" w:hAnsi="Arial" w:cs="Arial"/>
          <w:b/>
          <w:bCs/>
        </w:rPr>
      </w:pPr>
      <w:r w:rsidRPr="002137A8">
        <w:rPr>
          <w:noProof/>
        </w:rPr>
        <w:drawing>
          <wp:inline distT="0" distB="0" distL="0" distR="0" wp14:anchorId="4A7BDE9F" wp14:editId="1B8C6B2D">
            <wp:extent cx="8888400" cy="4471200"/>
            <wp:effectExtent l="0" t="0" r="8255" b="5715"/>
            <wp:docPr id="1538796506" name="Picture 1" descr="The image is an outline of a framework for Indigenous Data Sovereignty and Governance, detailing various domains such as Community Authority, Clinical Safety, Technical Equity, Supplier Accountability, and Human Judge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796506" name="Picture 1" descr="The image is an outline of a framework for Indigenous Data Sovereignty and Governance, detailing various domains such as Community Authority, Clinical Safety, Technical Equity, Supplier Accountability, and Human Judgement.&#10;&#10;AI-generated content may be incorrect."/>
                    <pic:cNvPicPr/>
                  </pic:nvPicPr>
                  <pic:blipFill>
                    <a:blip r:embed="rId29">
                      <a:extLst>
                        <a:ext uri="{28A0092B-C50C-407E-A947-70E740481C1C}">
                          <a14:useLocalDpi xmlns:a14="http://schemas.microsoft.com/office/drawing/2010/main" val="0"/>
                        </a:ext>
                      </a:extLst>
                    </a:blip>
                    <a:stretch>
                      <a:fillRect/>
                    </a:stretch>
                  </pic:blipFill>
                  <pic:spPr>
                    <a:xfrm>
                      <a:off x="0" y="0"/>
                      <a:ext cx="8888400" cy="4471200"/>
                    </a:xfrm>
                    <a:prstGeom prst="rect">
                      <a:avLst/>
                    </a:prstGeom>
                  </pic:spPr>
                </pic:pic>
              </a:graphicData>
            </a:graphic>
          </wp:inline>
        </w:drawing>
      </w:r>
    </w:p>
    <w:p w14:paraId="24DD0AE1" w14:textId="25213ABA" w:rsidR="007403A5" w:rsidRDefault="007403A5" w:rsidP="007403A5">
      <w:pPr>
        <w:spacing w:after="140" w:line="300" w:lineRule="auto"/>
        <w:rPr>
          <w:rFonts w:ascii="Arial" w:hAnsi="Arial" w:cs="Arial"/>
          <w:b/>
          <w:bCs/>
        </w:rPr>
      </w:pPr>
      <w:r>
        <w:rPr>
          <w:rFonts w:ascii="Arial" w:hAnsi="Arial" w:cs="Arial"/>
          <w:b/>
          <w:bCs/>
        </w:rPr>
        <w:t>Figure 1 – Foundational principles and operational domains for AI Governance in ACCHOs</w:t>
      </w:r>
    </w:p>
    <w:p w14:paraId="4EE391F6" w14:textId="77777777" w:rsidR="00E0718A" w:rsidRDefault="00E0718A" w:rsidP="007403A5">
      <w:pPr>
        <w:spacing w:after="140" w:line="300" w:lineRule="auto"/>
        <w:rPr>
          <w:rFonts w:ascii="Arial" w:hAnsi="Arial" w:cs="Arial"/>
          <w:b/>
          <w:bCs/>
        </w:rPr>
        <w:sectPr w:rsidR="00E0718A" w:rsidSect="00052729">
          <w:headerReference w:type="first" r:id="rId30"/>
          <w:footerReference w:type="first" r:id="rId31"/>
          <w:pgSz w:w="16840" w:h="11900" w:orient="landscape"/>
          <w:pgMar w:top="1134" w:right="1021" w:bottom="1134" w:left="1418" w:header="567" w:footer="454" w:gutter="0"/>
          <w:cols w:space="708"/>
          <w:titlePg/>
          <w:docGrid w:linePitch="360"/>
        </w:sectPr>
      </w:pPr>
    </w:p>
    <w:p w14:paraId="247CFD1E" w14:textId="6E290B0D" w:rsidR="00E805ED" w:rsidRPr="001465E6" w:rsidRDefault="00E805ED" w:rsidP="00E805ED">
      <w:pPr>
        <w:pStyle w:val="Heading2"/>
        <w:spacing w:before="240" w:after="120"/>
        <w:rPr>
          <w:rFonts w:ascii="Arial" w:hAnsi="Arial" w:cs="Arial"/>
          <w:color w:val="001441" w:themeColor="text1"/>
        </w:rPr>
      </w:pPr>
      <w:bookmarkStart w:id="173" w:name="_Toc238474903"/>
      <w:bookmarkStart w:id="174" w:name="_Toc238475816"/>
      <w:bookmarkStart w:id="175" w:name="_Toc238562134"/>
      <w:bookmarkStart w:id="176" w:name="_Toc239257320"/>
      <w:bookmarkStart w:id="177" w:name="_Toc239257423"/>
      <w:bookmarkStart w:id="178" w:name="_Toc239257524"/>
      <w:bookmarkStart w:id="179" w:name="_Toc240894361"/>
      <w:bookmarkStart w:id="180" w:name="_Toc240897419"/>
      <w:bookmarkStart w:id="181" w:name="_Toc240897573"/>
      <w:bookmarkStart w:id="182" w:name="_Toc240956391"/>
      <w:r w:rsidRPr="001465E6">
        <w:rPr>
          <w:rFonts w:ascii="Arial" w:hAnsi="Arial" w:cs="Arial"/>
          <w:color w:val="001441" w:themeColor="text1"/>
        </w:rPr>
        <w:lastRenderedPageBreak/>
        <w:t>DOMAIN 1: Culture, Community and Equity</w:t>
      </w:r>
      <w:bookmarkEnd w:id="173"/>
      <w:bookmarkEnd w:id="174"/>
      <w:bookmarkEnd w:id="175"/>
      <w:bookmarkEnd w:id="176"/>
      <w:bookmarkEnd w:id="177"/>
      <w:bookmarkEnd w:id="178"/>
      <w:bookmarkEnd w:id="179"/>
      <w:bookmarkEnd w:id="180"/>
      <w:bookmarkEnd w:id="181"/>
      <w:bookmarkEnd w:id="182"/>
    </w:p>
    <w:p w14:paraId="6A072A5C" w14:textId="01241497" w:rsidR="00E805ED" w:rsidRPr="00C50F87" w:rsidRDefault="00E805ED" w:rsidP="00E805ED">
      <w:pPr>
        <w:spacing w:after="160"/>
        <w:rPr>
          <w:rFonts w:ascii="Arial" w:hAnsi="Arial" w:cs="Arial"/>
          <w:color w:val="002060"/>
        </w:rPr>
      </w:pPr>
      <w:r>
        <w:rPr>
          <w:rFonts w:ascii="Arial" w:hAnsi="Arial" w:cs="Arial"/>
          <w:i/>
          <w:iCs/>
          <w:color w:val="002060"/>
        </w:rPr>
        <w:t>Cultural safety, community accountability and equitable outcomes</w:t>
      </w:r>
    </w:p>
    <w:p w14:paraId="2FF0E9AF" w14:textId="602AD0AE" w:rsidR="00E805ED" w:rsidRPr="006F75DC" w:rsidRDefault="00E805ED" w:rsidP="00B90CC9">
      <w:pPr>
        <w:pStyle w:val="NACCHOtext"/>
      </w:pPr>
      <w:r>
        <w:t xml:space="preserve">The </w:t>
      </w:r>
      <w:r>
        <w:rPr>
          <w:b/>
          <w:bCs/>
        </w:rPr>
        <w:t>Culture, Community and Equity</w:t>
      </w:r>
      <w:r>
        <w:t xml:space="preserve"> domain assesses whether the AI tool is safe for the community the ACCHO serves, whether community has been engaged in the decision to deploy, and whether the tool's outcomes are equitable across the patient population.</w:t>
      </w:r>
    </w:p>
    <w:p w14:paraId="4841A562" w14:textId="77777777" w:rsidR="00E805ED" w:rsidRPr="00C50F87" w:rsidRDefault="00E805ED" w:rsidP="00E805ED">
      <w:pPr>
        <w:pStyle w:val="Heading4"/>
        <w:spacing w:before="140" w:after="120"/>
        <w:rPr>
          <w:rFonts w:ascii="Arial" w:hAnsi="Arial" w:cs="Arial"/>
          <w:i/>
          <w:iCs w:val="0"/>
          <w:sz w:val="24"/>
        </w:rPr>
      </w:pPr>
      <w:r>
        <w:rPr>
          <w:rFonts w:ascii="Arial" w:hAnsi="Arial" w:cs="Arial"/>
          <w:bCs/>
          <w:iCs w:val="0"/>
          <w:color w:val="0F2940"/>
        </w:rPr>
        <w:t>Key questions:</w:t>
      </w:r>
    </w:p>
    <w:p w14:paraId="19726D08" w14:textId="77777777" w:rsidR="00E805ED" w:rsidRPr="006F75DC" w:rsidRDefault="00E805ED" w:rsidP="00E805ED">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Has Community been engaged in the decision to deploy this tool, and how?</w:t>
      </w:r>
    </w:p>
    <w:p w14:paraId="55CD89DF" w14:textId="77777777" w:rsidR="00E805ED" w:rsidRPr="006F75DC" w:rsidRDefault="00E805ED" w:rsidP="00E805ED">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Does the tool's design and output reflect the cultural, linguistic, and kinship realities of Community?</w:t>
      </w:r>
    </w:p>
    <w:p w14:paraId="492F122B" w14:textId="77777777" w:rsidR="00E805ED" w:rsidRPr="006F75DC" w:rsidRDefault="00E805ED" w:rsidP="00E805ED">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Are the tool's outcomes equitable across patient subgroups, and how is this monitored?</w:t>
      </w:r>
    </w:p>
    <w:p w14:paraId="2DD8D383" w14:textId="77777777" w:rsidR="00E805ED" w:rsidRPr="006F75DC" w:rsidRDefault="00E805ED" w:rsidP="00E805ED">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Is there a mechanism for Community to raise concerns about the tool and have those concerns addressed?</w:t>
      </w:r>
    </w:p>
    <w:p w14:paraId="723724E6" w14:textId="77777777" w:rsidR="00E805ED" w:rsidRDefault="00E805ED" w:rsidP="00E805ED">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Does use of the tool create any barrier to access or care for patients who decline it, and does the Organisation have a defined approach to ensure those patients are not disadvantaged?</w:t>
      </w:r>
    </w:p>
    <w:p w14:paraId="488F835D" w14:textId="77777777" w:rsidR="00E805ED" w:rsidRDefault="00E805ED" w:rsidP="00E805ED">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What is the Organisation's process for managing patient consent: who is asking for consent, when and in what setting, what are patients told about the tool, how is consent recorded, and can a patient withdraw consent later and have their data removed from the tool and corrected in the clinical information system?</w:t>
      </w:r>
    </w:p>
    <w:p w14:paraId="44AF71B5" w14:textId="77777777" w:rsidR="00E805ED" w:rsidRDefault="00E805ED" w:rsidP="00E805ED">
      <w:pPr>
        <w:pStyle w:val="ListParagraph"/>
        <w:numPr>
          <w:ilvl w:val="0"/>
          <w:numId w:val="16"/>
        </w:numPr>
        <w:tabs>
          <w:tab w:val="clear" w:pos="284"/>
          <w:tab w:val="clear" w:pos="567"/>
          <w:tab w:val="clear" w:pos="851"/>
        </w:tabs>
        <w:spacing w:line="300" w:lineRule="auto"/>
        <w:contextualSpacing w:val="0"/>
        <w:rPr>
          <w:rFonts w:ascii="Arial" w:hAnsi="Arial" w:cs="Arial"/>
        </w:rPr>
      </w:pPr>
      <w:r>
        <w:rPr>
          <w:rFonts w:ascii="Arial" w:hAnsi="Arial" w:cs="Arial"/>
        </w:rPr>
        <w:t>Does the tool support, rather than undermine, the ACCHO's broader cultural safety and self-determination obligations?</w:t>
      </w:r>
    </w:p>
    <w:p w14:paraId="19AA0E50" w14:textId="77777777" w:rsidR="00E805ED" w:rsidRPr="006F75DC" w:rsidRDefault="00E805ED" w:rsidP="00B5267E">
      <w:pPr>
        <w:pStyle w:val="ListParagraph"/>
        <w:numPr>
          <w:ilvl w:val="0"/>
          <w:numId w:val="16"/>
        </w:numPr>
        <w:tabs>
          <w:tab w:val="clear" w:pos="284"/>
          <w:tab w:val="clear" w:pos="567"/>
          <w:tab w:val="clear" w:pos="851"/>
        </w:tabs>
        <w:spacing w:after="360" w:line="300" w:lineRule="auto"/>
        <w:contextualSpacing w:val="0"/>
        <w:rPr>
          <w:rFonts w:ascii="Arial" w:hAnsi="Arial" w:cs="Arial"/>
        </w:rPr>
      </w:pPr>
      <w:r>
        <w:rPr>
          <w:rFonts w:ascii="Arial" w:hAnsi="Arial" w:cs="Arial"/>
        </w:rPr>
        <w:t>How will the ACCHO measure whether patients, families and community experience the tool as culturally safe in practice?</w:t>
      </w:r>
    </w:p>
    <w:tbl>
      <w:tblPr>
        <w:tblStyle w:val="TableGrid"/>
        <w:tblW w:w="0" w:type="auto"/>
        <w:tblLook w:val="04A0" w:firstRow="1" w:lastRow="0" w:firstColumn="1" w:lastColumn="0" w:noHBand="0" w:noVBand="1"/>
      </w:tblPr>
      <w:tblGrid>
        <w:gridCol w:w="9016"/>
      </w:tblGrid>
      <w:tr w:rsidR="00E805ED" w:rsidRPr="00C50F87" w14:paraId="44EE8CF5" w14:textId="77777777" w:rsidTr="00DC543A">
        <w:tc>
          <w:tcPr>
            <w:cnfStyle w:val="001000000000" w:firstRow="0" w:lastRow="0" w:firstColumn="1" w:lastColumn="0" w:oddVBand="0" w:evenVBand="0" w:oddHBand="0" w:evenHBand="0" w:firstRowFirstColumn="0" w:firstRowLastColumn="0" w:lastRowFirstColumn="0" w:lastRowLastColumn="0"/>
            <w:tcW w:w="9016" w:type="dxa"/>
            <w:shd w:val="clear" w:color="auto" w:fill="002060"/>
          </w:tcPr>
          <w:p w14:paraId="2BF3D992" w14:textId="77777777" w:rsidR="00E805ED" w:rsidRPr="00C50F87" w:rsidRDefault="00E805ED" w:rsidP="00DC543A">
            <w:pPr>
              <w:pStyle w:val="Heading4"/>
              <w:spacing w:before="140"/>
              <w:rPr>
                <w:rFonts w:ascii="Arial" w:hAnsi="Arial" w:cs="Arial"/>
                <w:i/>
                <w:iCs w:val="0"/>
                <w:color w:val="FFFFFF" w:themeColor="background1"/>
                <w:sz w:val="24"/>
              </w:rPr>
            </w:pPr>
            <w:r>
              <w:rPr>
                <w:rFonts w:ascii="Arial" w:hAnsi="Arial" w:cs="Arial"/>
                <w:bCs/>
                <w:iCs w:val="0"/>
                <w:color w:val="FFFFFF" w:themeColor="background1"/>
              </w:rPr>
              <w:t>Foundational principles: how they apply in this domain</w:t>
            </w:r>
          </w:p>
        </w:tc>
      </w:tr>
      <w:tr w:rsidR="00E805ED" w:rsidRPr="00C50F87" w14:paraId="06817FCD" w14:textId="77777777" w:rsidTr="00DC543A">
        <w:tc>
          <w:tcPr>
            <w:cnfStyle w:val="001000000000" w:firstRow="0" w:lastRow="0" w:firstColumn="1" w:lastColumn="0" w:oddVBand="0" w:evenVBand="0" w:oddHBand="0" w:evenHBand="0" w:firstRowFirstColumn="0" w:firstRowLastColumn="0" w:lastRowFirstColumn="0" w:lastRowLastColumn="0"/>
            <w:tcW w:w="9016" w:type="dxa"/>
          </w:tcPr>
          <w:p w14:paraId="0EA26175" w14:textId="77777777" w:rsidR="00E805ED" w:rsidRPr="00C50F87" w:rsidRDefault="00E805ED" w:rsidP="00DC543A">
            <w:pPr>
              <w:spacing w:before="120" w:line="300" w:lineRule="auto"/>
              <w:rPr>
                <w:rFonts w:ascii="Arial" w:hAnsi="Arial" w:cs="Arial"/>
              </w:rPr>
            </w:pPr>
            <w:r>
              <w:rPr>
                <w:rFonts w:ascii="Arial" w:hAnsi="Arial" w:cs="Arial"/>
                <w:i/>
                <w:iCs/>
                <w:color w:val="6B7280"/>
              </w:rPr>
              <w:t>All four foundational principles apply most directly in this domain. The domain itself is an explicit operational activity across all of the principles. A failure here is a failure of the Framework as a whole.</w:t>
            </w:r>
          </w:p>
        </w:tc>
      </w:tr>
    </w:tbl>
    <w:p w14:paraId="0AEED35B" w14:textId="77777777" w:rsidR="00503EB8" w:rsidRDefault="00503EB8" w:rsidP="00B013E1">
      <w:pPr>
        <w:sectPr w:rsidR="00503EB8" w:rsidSect="00064891">
          <w:pgSz w:w="11900" w:h="16840"/>
          <w:pgMar w:top="1021" w:right="1134" w:bottom="1418" w:left="1134" w:header="567" w:footer="454" w:gutter="0"/>
          <w:cols w:space="708"/>
          <w:titlePg/>
          <w:docGrid w:linePitch="360"/>
        </w:sectPr>
      </w:pPr>
    </w:p>
    <w:p w14:paraId="4AADEA2B" w14:textId="77777777" w:rsidR="00BE6B7C" w:rsidRPr="001465E6" w:rsidRDefault="00BE6B7C" w:rsidP="00BE6B7C">
      <w:pPr>
        <w:pStyle w:val="Heading2"/>
        <w:spacing w:after="120"/>
        <w:rPr>
          <w:rFonts w:ascii="Arial" w:hAnsi="Arial" w:cs="Arial"/>
          <w:color w:val="001441" w:themeColor="text1"/>
        </w:rPr>
      </w:pPr>
      <w:bookmarkStart w:id="183" w:name="_Toc238474904"/>
      <w:bookmarkStart w:id="184" w:name="_Toc238475817"/>
      <w:bookmarkStart w:id="185" w:name="_Toc238562135"/>
      <w:bookmarkStart w:id="186" w:name="_Toc239257321"/>
      <w:bookmarkStart w:id="187" w:name="_Toc239257424"/>
      <w:bookmarkStart w:id="188" w:name="_Toc239257525"/>
      <w:bookmarkStart w:id="189" w:name="_Toc240894362"/>
      <w:bookmarkStart w:id="190" w:name="_Toc240897420"/>
      <w:bookmarkStart w:id="191" w:name="_Toc240897574"/>
      <w:bookmarkStart w:id="192" w:name="_Toc240956392"/>
      <w:r w:rsidRPr="001465E6">
        <w:rPr>
          <w:rFonts w:ascii="Arial" w:hAnsi="Arial" w:cs="Arial"/>
          <w:color w:val="001441" w:themeColor="text1"/>
        </w:rPr>
        <w:lastRenderedPageBreak/>
        <w:t>DOMAIN 2: Clinical</w:t>
      </w:r>
      <w:bookmarkEnd w:id="183"/>
      <w:bookmarkEnd w:id="184"/>
      <w:bookmarkEnd w:id="185"/>
      <w:bookmarkEnd w:id="186"/>
      <w:bookmarkEnd w:id="187"/>
      <w:bookmarkEnd w:id="188"/>
      <w:bookmarkEnd w:id="189"/>
      <w:bookmarkEnd w:id="190"/>
      <w:bookmarkEnd w:id="191"/>
      <w:bookmarkEnd w:id="192"/>
    </w:p>
    <w:p w14:paraId="0CFD4778" w14:textId="77777777" w:rsidR="00BE6B7C" w:rsidRPr="000828BE" w:rsidRDefault="00BE6B7C" w:rsidP="00BE6B7C">
      <w:pPr>
        <w:spacing w:after="160"/>
        <w:rPr>
          <w:rFonts w:ascii="Arial" w:hAnsi="Arial" w:cs="Arial"/>
          <w:color w:val="002060"/>
        </w:rPr>
      </w:pPr>
      <w:r>
        <w:rPr>
          <w:rFonts w:ascii="Arial" w:hAnsi="Arial" w:cs="Arial"/>
          <w:i/>
          <w:iCs/>
          <w:color w:val="002060"/>
        </w:rPr>
        <w:t>The standard of care, clinical safety and accountability</w:t>
      </w:r>
    </w:p>
    <w:p w14:paraId="6BAB83E2" w14:textId="77777777" w:rsidR="00BE6B7C" w:rsidRPr="006F75DC" w:rsidRDefault="00BE6B7C" w:rsidP="00B90CC9">
      <w:pPr>
        <w:pStyle w:val="NACCHOtext"/>
      </w:pPr>
      <w:r>
        <w:t xml:space="preserve">The </w:t>
      </w:r>
      <w:r>
        <w:rPr>
          <w:b/>
          <w:bCs/>
        </w:rPr>
        <w:t>Clinical</w:t>
      </w:r>
      <w:r>
        <w:t xml:space="preserve"> domain establishes whether the AI tool meets the standard of care expected in an ACCHO setting. It assesses whether clinical accountability is clear, and whether the tool can be safely integrated into clinical decision-making. It is important to note that AI does not transfer clinical accountability away from the clinician.</w:t>
      </w:r>
    </w:p>
    <w:p w14:paraId="2DEF6545" w14:textId="77777777" w:rsidR="00BE6B7C" w:rsidRPr="00C50F87" w:rsidRDefault="00BE6B7C" w:rsidP="00BE6B7C">
      <w:pPr>
        <w:pStyle w:val="Heading4"/>
        <w:spacing w:before="140" w:after="120"/>
        <w:rPr>
          <w:rFonts w:ascii="Arial" w:hAnsi="Arial" w:cs="Arial"/>
          <w:b w:val="0"/>
          <w:bCs/>
          <w:i/>
          <w:iCs w:val="0"/>
          <w:color w:val="0F2940"/>
        </w:rPr>
      </w:pPr>
      <w:r>
        <w:rPr>
          <w:rFonts w:ascii="Arial" w:hAnsi="Arial" w:cs="Arial"/>
          <w:bCs/>
          <w:iCs w:val="0"/>
          <w:color w:val="0F2940"/>
        </w:rPr>
        <w:t>Key questions:</w:t>
      </w:r>
    </w:p>
    <w:p w14:paraId="540CDEC2" w14:textId="77777777" w:rsidR="00BE6B7C" w:rsidRDefault="00BE6B7C" w:rsidP="00BE6B7C">
      <w:pPr>
        <w:pStyle w:val="ListParagraph"/>
        <w:numPr>
          <w:ilvl w:val="0"/>
          <w:numId w:val="18"/>
        </w:numPr>
        <w:tabs>
          <w:tab w:val="clear" w:pos="284"/>
          <w:tab w:val="clear" w:pos="567"/>
          <w:tab w:val="clear" w:pos="851"/>
        </w:tabs>
        <w:spacing w:after="80" w:line="300" w:lineRule="auto"/>
        <w:contextualSpacing w:val="0"/>
        <w:rPr>
          <w:rFonts w:ascii="Arial" w:hAnsi="Arial" w:cs="Arial"/>
        </w:rPr>
      </w:pPr>
      <w:r>
        <w:rPr>
          <w:rFonts w:ascii="Arial" w:hAnsi="Arial" w:cs="Arial"/>
        </w:rPr>
        <w:t>Does the tool meet the clinical standard of care for the population it is being used with, and does it achieve its claimed purpose in the way it is actually used?</w:t>
      </w:r>
    </w:p>
    <w:p w14:paraId="0CCA9863" w14:textId="77777777" w:rsidR="00BE6B7C" w:rsidRPr="006F75DC" w:rsidRDefault="00BE6B7C" w:rsidP="00BE6B7C">
      <w:pPr>
        <w:pStyle w:val="ListParagraph"/>
        <w:numPr>
          <w:ilvl w:val="0"/>
          <w:numId w:val="18"/>
        </w:numPr>
        <w:tabs>
          <w:tab w:val="clear" w:pos="284"/>
          <w:tab w:val="clear" w:pos="567"/>
          <w:tab w:val="clear" w:pos="851"/>
        </w:tabs>
        <w:spacing w:after="80" w:line="300" w:lineRule="auto"/>
        <w:contextualSpacing w:val="0"/>
        <w:rPr>
          <w:rFonts w:ascii="Arial" w:hAnsi="Arial" w:cs="Arial"/>
        </w:rPr>
      </w:pPr>
      <w:r>
        <w:rPr>
          <w:rFonts w:ascii="Arial" w:hAnsi="Arial" w:cs="Arial"/>
        </w:rPr>
        <w:t>Does the tool integrate effectively with clinical systems to meet documentation and clinical coding requirements including reporting, recall, and notification obligations?</w:t>
      </w:r>
    </w:p>
    <w:p w14:paraId="5344D49F" w14:textId="77777777" w:rsidR="00BE6B7C" w:rsidRPr="006F75DC" w:rsidRDefault="00BE6B7C" w:rsidP="00BE6B7C">
      <w:pPr>
        <w:pStyle w:val="ListParagraph"/>
        <w:numPr>
          <w:ilvl w:val="0"/>
          <w:numId w:val="18"/>
        </w:numPr>
        <w:tabs>
          <w:tab w:val="clear" w:pos="284"/>
          <w:tab w:val="clear" w:pos="567"/>
          <w:tab w:val="clear" w:pos="851"/>
        </w:tabs>
        <w:spacing w:after="80" w:line="300" w:lineRule="auto"/>
        <w:contextualSpacing w:val="0"/>
        <w:rPr>
          <w:rFonts w:ascii="Arial" w:hAnsi="Arial" w:cs="Arial"/>
        </w:rPr>
      </w:pPr>
      <w:r>
        <w:rPr>
          <w:rFonts w:ascii="Arial" w:hAnsi="Arial" w:cs="Arial"/>
        </w:rPr>
        <w:t>Is the clinically accountable person identified, and do they understand what the tool does and does not do?</w:t>
      </w:r>
    </w:p>
    <w:p w14:paraId="129DBC9E" w14:textId="77777777" w:rsidR="00BE6B7C" w:rsidRPr="006F75DC" w:rsidRDefault="00BE6B7C" w:rsidP="00BE6B7C">
      <w:pPr>
        <w:pStyle w:val="ListParagraph"/>
        <w:numPr>
          <w:ilvl w:val="0"/>
          <w:numId w:val="18"/>
        </w:numPr>
        <w:tabs>
          <w:tab w:val="clear" w:pos="284"/>
          <w:tab w:val="clear" w:pos="567"/>
          <w:tab w:val="clear" w:pos="851"/>
        </w:tabs>
        <w:spacing w:after="80" w:line="300" w:lineRule="auto"/>
        <w:contextualSpacing w:val="0"/>
        <w:rPr>
          <w:rFonts w:ascii="Arial" w:hAnsi="Arial" w:cs="Arial"/>
        </w:rPr>
      </w:pPr>
      <w:r>
        <w:rPr>
          <w:rFonts w:ascii="Arial" w:hAnsi="Arial" w:cs="Arial"/>
        </w:rPr>
        <w:t>Are clinicians required to review and approve AI-generated outputs before they are saved to the patient record?</w:t>
      </w:r>
    </w:p>
    <w:p w14:paraId="4859BF9B" w14:textId="77777777" w:rsidR="00BE6B7C" w:rsidRPr="006F75DC" w:rsidRDefault="00BE6B7C" w:rsidP="00BE6B7C">
      <w:pPr>
        <w:pStyle w:val="ListParagraph"/>
        <w:numPr>
          <w:ilvl w:val="0"/>
          <w:numId w:val="18"/>
        </w:numPr>
        <w:tabs>
          <w:tab w:val="clear" w:pos="284"/>
          <w:tab w:val="clear" w:pos="567"/>
          <w:tab w:val="clear" w:pos="851"/>
        </w:tabs>
        <w:spacing w:after="80" w:line="300" w:lineRule="auto"/>
        <w:contextualSpacing w:val="0"/>
        <w:rPr>
          <w:rFonts w:ascii="Arial" w:hAnsi="Arial" w:cs="Arial"/>
        </w:rPr>
      </w:pPr>
      <w:r>
        <w:rPr>
          <w:rFonts w:ascii="Arial" w:hAnsi="Arial" w:cs="Arial"/>
        </w:rPr>
        <w:t>Is there a documented override protocol for when the tool should be disregarded? Where override is exercised, what is the process for escalating this to a relevant decision maker?</w:t>
      </w:r>
    </w:p>
    <w:p w14:paraId="36187EB7" w14:textId="77777777" w:rsidR="00BE6B7C" w:rsidRPr="006F75DC" w:rsidRDefault="00BE6B7C" w:rsidP="00BE6B7C">
      <w:pPr>
        <w:pStyle w:val="ListParagraph"/>
        <w:numPr>
          <w:ilvl w:val="0"/>
          <w:numId w:val="18"/>
        </w:numPr>
        <w:tabs>
          <w:tab w:val="clear" w:pos="284"/>
          <w:tab w:val="clear" w:pos="567"/>
          <w:tab w:val="clear" w:pos="851"/>
        </w:tabs>
        <w:spacing w:after="80" w:line="300" w:lineRule="auto"/>
        <w:contextualSpacing w:val="0"/>
        <w:rPr>
          <w:rFonts w:ascii="Arial" w:hAnsi="Arial" w:cs="Arial"/>
        </w:rPr>
      </w:pPr>
      <w:r>
        <w:rPr>
          <w:rFonts w:ascii="Arial" w:hAnsi="Arial" w:cs="Arial"/>
        </w:rPr>
        <w:t>Has the tool been validated on a population representative of the patients served by this ACCHO?</w:t>
      </w:r>
    </w:p>
    <w:p w14:paraId="64C2116A" w14:textId="77777777" w:rsidR="00BE6B7C" w:rsidRDefault="00BE6B7C" w:rsidP="00BE6B7C">
      <w:pPr>
        <w:pStyle w:val="ListParagraph"/>
        <w:numPr>
          <w:ilvl w:val="0"/>
          <w:numId w:val="18"/>
        </w:numPr>
        <w:tabs>
          <w:tab w:val="clear" w:pos="284"/>
          <w:tab w:val="clear" w:pos="567"/>
          <w:tab w:val="clear" w:pos="851"/>
        </w:tabs>
        <w:spacing w:after="80" w:line="300" w:lineRule="auto"/>
        <w:contextualSpacing w:val="0"/>
        <w:rPr>
          <w:rFonts w:ascii="Arial" w:hAnsi="Arial" w:cs="Arial"/>
        </w:rPr>
      </w:pPr>
      <w:r>
        <w:rPr>
          <w:rFonts w:ascii="Arial" w:hAnsi="Arial" w:cs="Arial"/>
        </w:rPr>
        <w:t>Does the tool perform reliably in the operating conditions of the ACCHO, including remote, low-bandwidth or intermittent-connectivity settings, and what is the fallback when those conditions are not met?</w:t>
      </w:r>
    </w:p>
    <w:p w14:paraId="0422EEAC" w14:textId="77777777" w:rsidR="00BE6B7C" w:rsidRDefault="00BE6B7C" w:rsidP="00BE6B7C">
      <w:pPr>
        <w:pStyle w:val="ListParagraph"/>
        <w:numPr>
          <w:ilvl w:val="0"/>
          <w:numId w:val="18"/>
        </w:numPr>
        <w:tabs>
          <w:tab w:val="clear" w:pos="284"/>
          <w:tab w:val="clear" w:pos="567"/>
          <w:tab w:val="clear" w:pos="851"/>
        </w:tabs>
        <w:spacing w:after="80" w:line="300" w:lineRule="auto"/>
        <w:contextualSpacing w:val="0"/>
        <w:rPr>
          <w:rFonts w:ascii="Arial" w:hAnsi="Arial" w:cs="Arial"/>
        </w:rPr>
      </w:pPr>
      <w:r>
        <w:rPr>
          <w:rFonts w:ascii="Arial" w:hAnsi="Arial" w:cs="Arial"/>
        </w:rPr>
        <w:t>Are patient consent processes defined for the tool, including who takes consent, at what point and in what setting, what patients are told and how consent is recorded?</w:t>
      </w:r>
    </w:p>
    <w:p w14:paraId="76797663" w14:textId="1052F02E" w:rsidR="000064D0" w:rsidRDefault="00BE6B7C" w:rsidP="00BE6B7C">
      <w:pPr>
        <w:pStyle w:val="ListParagraph"/>
        <w:numPr>
          <w:ilvl w:val="0"/>
          <w:numId w:val="18"/>
        </w:numPr>
        <w:tabs>
          <w:tab w:val="clear" w:pos="284"/>
          <w:tab w:val="clear" w:pos="567"/>
          <w:tab w:val="clear" w:pos="851"/>
        </w:tabs>
        <w:spacing w:line="300" w:lineRule="auto"/>
        <w:contextualSpacing w:val="0"/>
        <w:rPr>
          <w:rFonts w:ascii="Arial" w:hAnsi="Arial" w:cs="Arial"/>
        </w:rPr>
        <w:sectPr w:rsidR="000064D0" w:rsidSect="00C648B0">
          <w:headerReference w:type="first" r:id="rId32"/>
          <w:pgSz w:w="11900" w:h="16840"/>
          <w:pgMar w:top="1021" w:right="1134" w:bottom="1418" w:left="1134" w:header="567" w:footer="454" w:gutter="0"/>
          <w:cols w:space="708"/>
          <w:docGrid w:linePitch="360"/>
        </w:sectPr>
      </w:pPr>
      <w:r>
        <w:rPr>
          <w:rFonts w:ascii="Arial" w:hAnsi="Arial" w:cs="Arial"/>
        </w:rPr>
        <w:t>How is informed consent obtained and recorded where patients have limited literacy or numeracy, where the encounter is remote, or where care is delivered in a group or collective setting in which individual consent cannot be the sole mechanism</w:t>
      </w:r>
      <w:r w:rsidR="00A81117">
        <w:rPr>
          <w:rFonts w:ascii="Arial" w:hAnsi="Arial" w:cs="Arial"/>
        </w:rPr>
        <w:t>.</w:t>
      </w:r>
    </w:p>
    <w:p w14:paraId="4B2AE3D2" w14:textId="77777777" w:rsidR="00BE6B7C" w:rsidRPr="00A81117" w:rsidRDefault="00BE6B7C" w:rsidP="00A81117">
      <w:pPr>
        <w:tabs>
          <w:tab w:val="clear" w:pos="284"/>
          <w:tab w:val="clear" w:pos="567"/>
          <w:tab w:val="clear" w:pos="851"/>
        </w:tabs>
        <w:spacing w:line="300" w:lineRule="auto"/>
        <w:rPr>
          <w:rFonts w:ascii="Arial" w:hAnsi="Arial" w:cs="Arial"/>
        </w:rPr>
      </w:pPr>
    </w:p>
    <w:tbl>
      <w:tblPr>
        <w:tblStyle w:val="TableGrid"/>
        <w:tblW w:w="0" w:type="auto"/>
        <w:tblLook w:val="04A0" w:firstRow="1" w:lastRow="0" w:firstColumn="1" w:lastColumn="0" w:noHBand="0" w:noVBand="1"/>
      </w:tblPr>
      <w:tblGrid>
        <w:gridCol w:w="9016"/>
      </w:tblGrid>
      <w:tr w:rsidR="00BE6B7C" w:rsidRPr="00C50F87" w14:paraId="1BAE90BD" w14:textId="77777777" w:rsidTr="00DC543A">
        <w:tc>
          <w:tcPr>
            <w:cnfStyle w:val="001000000000" w:firstRow="0" w:lastRow="0" w:firstColumn="1" w:lastColumn="0" w:oddVBand="0" w:evenVBand="0" w:oddHBand="0" w:evenHBand="0" w:firstRowFirstColumn="0" w:firstRowLastColumn="0" w:lastRowFirstColumn="0" w:lastRowLastColumn="0"/>
            <w:tcW w:w="9016" w:type="dxa"/>
            <w:shd w:val="clear" w:color="auto" w:fill="002060"/>
          </w:tcPr>
          <w:p w14:paraId="4772D6FD" w14:textId="77777777" w:rsidR="00BE6B7C" w:rsidRPr="00C50F87" w:rsidRDefault="00BE6B7C" w:rsidP="00DC543A">
            <w:pPr>
              <w:pStyle w:val="Heading4"/>
              <w:spacing w:before="140"/>
              <w:rPr>
                <w:rFonts w:ascii="Arial" w:hAnsi="Arial" w:cs="Arial"/>
                <w:i/>
                <w:iCs w:val="0"/>
                <w:color w:val="FFFFFF" w:themeColor="background1"/>
                <w:sz w:val="24"/>
              </w:rPr>
            </w:pPr>
            <w:r>
              <w:rPr>
                <w:rFonts w:ascii="Arial" w:hAnsi="Arial" w:cs="Arial"/>
                <w:bCs/>
                <w:iCs w:val="0"/>
                <w:color w:val="FFFFFF" w:themeColor="background1"/>
              </w:rPr>
              <w:t>Foundational principles: how they apply in this domain</w:t>
            </w:r>
          </w:p>
        </w:tc>
      </w:tr>
      <w:tr w:rsidR="00BE6B7C" w:rsidRPr="00C50F87" w14:paraId="1CE5E6C2" w14:textId="77777777" w:rsidTr="00DC543A">
        <w:tc>
          <w:tcPr>
            <w:cnfStyle w:val="001000000000" w:firstRow="0" w:lastRow="0" w:firstColumn="1" w:lastColumn="0" w:oddVBand="0" w:evenVBand="0" w:oddHBand="0" w:evenHBand="0" w:firstRowFirstColumn="0" w:firstRowLastColumn="0" w:lastRowFirstColumn="0" w:lastRowLastColumn="0"/>
            <w:tcW w:w="9016" w:type="dxa"/>
          </w:tcPr>
          <w:p w14:paraId="12F35A8F" w14:textId="77777777" w:rsidR="00BE6B7C" w:rsidRPr="00C50F87" w:rsidRDefault="00BE6B7C" w:rsidP="00DC543A">
            <w:pPr>
              <w:spacing w:before="120" w:line="300" w:lineRule="auto"/>
              <w:rPr>
                <w:rFonts w:ascii="Arial" w:hAnsi="Arial" w:cs="Arial"/>
              </w:rPr>
            </w:pPr>
            <w:r>
              <w:rPr>
                <w:rFonts w:ascii="Arial" w:hAnsi="Arial" w:cs="Arial"/>
                <w:i/>
                <w:iCs/>
                <w:color w:val="6B7280"/>
              </w:rPr>
              <w:t>Cultural safety determines whether a clinical output is safe at all. A clinically accurate output that misinterprets kinship, language or cultural context is not considered clinically or culturally safe. Indigenous Data Sovereignty governs how clinical data flowing from these tools is held, used and shared (or re-shared with appropriate consent)</w:t>
            </w:r>
            <w:r>
              <w:rPr>
                <w:rFonts w:ascii="Arial" w:hAnsi="Arial" w:cs="Arial"/>
                <w:i/>
                <w:iCs/>
              </w:rPr>
              <w:t xml:space="preserve">. </w:t>
            </w:r>
            <w:r w:rsidRPr="00FC1C85">
              <w:rPr>
                <w:rFonts w:ascii="Arial" w:hAnsi="Arial" w:cs="Arial"/>
                <w:i/>
                <w:iCs/>
                <w:color w:val="6B7280"/>
              </w:rPr>
              <w:t>Human Judgement is the operative principle in the clinical encounter</w:t>
            </w:r>
            <w:r>
              <w:rPr>
                <w:rFonts w:ascii="Arial" w:hAnsi="Arial" w:cs="Arial"/>
                <w:i/>
                <w:iCs/>
                <w:color w:val="6B7280"/>
              </w:rPr>
              <w:t xml:space="preserve">. In this case, </w:t>
            </w:r>
            <w:r w:rsidRPr="00FC1C85">
              <w:rPr>
                <w:rFonts w:ascii="Arial" w:hAnsi="Arial" w:cs="Arial"/>
                <w:i/>
                <w:iCs/>
                <w:color w:val="6B7280"/>
              </w:rPr>
              <w:t xml:space="preserve">the tool </w:t>
            </w:r>
            <w:r>
              <w:rPr>
                <w:rFonts w:ascii="Arial" w:hAnsi="Arial" w:cs="Arial"/>
                <w:i/>
                <w:iCs/>
                <w:color w:val="6B7280"/>
              </w:rPr>
              <w:t>may summarise a clinical consultation or inform</w:t>
            </w:r>
            <w:r w:rsidRPr="00FC1C85">
              <w:rPr>
                <w:rFonts w:ascii="Arial" w:hAnsi="Arial" w:cs="Arial"/>
                <w:i/>
                <w:iCs/>
                <w:color w:val="6B7280"/>
              </w:rPr>
              <w:t xml:space="preserve"> the clinician’s decision</w:t>
            </w:r>
            <w:r>
              <w:rPr>
                <w:rFonts w:ascii="Arial" w:hAnsi="Arial" w:cs="Arial"/>
                <w:i/>
                <w:iCs/>
                <w:color w:val="6B7280"/>
              </w:rPr>
              <w:t>;</w:t>
            </w:r>
            <w:r w:rsidRPr="00FC1C85">
              <w:rPr>
                <w:rFonts w:ascii="Arial" w:hAnsi="Arial" w:cs="Arial"/>
                <w:i/>
                <w:iCs/>
                <w:color w:val="6B7280"/>
              </w:rPr>
              <w:t xml:space="preserve"> it </w:t>
            </w:r>
            <w:r>
              <w:rPr>
                <w:rFonts w:ascii="Arial" w:hAnsi="Arial" w:cs="Arial"/>
                <w:i/>
                <w:iCs/>
                <w:color w:val="6B7280"/>
              </w:rPr>
              <w:t xml:space="preserve">however does not </w:t>
            </w:r>
            <w:r w:rsidRPr="00FC1C85">
              <w:rPr>
                <w:rFonts w:ascii="Arial" w:hAnsi="Arial" w:cs="Arial"/>
                <w:i/>
                <w:iCs/>
                <w:color w:val="6B7280"/>
              </w:rPr>
              <w:t xml:space="preserve">make </w:t>
            </w:r>
            <w:r>
              <w:rPr>
                <w:rFonts w:ascii="Arial" w:hAnsi="Arial" w:cs="Arial"/>
                <w:i/>
                <w:iCs/>
                <w:color w:val="6B7280"/>
              </w:rPr>
              <w:t>the decision.</w:t>
            </w:r>
          </w:p>
        </w:tc>
      </w:tr>
    </w:tbl>
    <w:p w14:paraId="19299943" w14:textId="77777777" w:rsidR="00E805ED" w:rsidRDefault="00E805ED" w:rsidP="00B013E1"/>
    <w:tbl>
      <w:tblPr>
        <w:tblW w:w="9064" w:type="dxa"/>
        <w:tblLook w:val="04A0" w:firstRow="1" w:lastRow="0" w:firstColumn="1" w:lastColumn="0" w:noHBand="0" w:noVBand="1"/>
      </w:tblPr>
      <w:tblGrid>
        <w:gridCol w:w="9064"/>
      </w:tblGrid>
      <w:tr w:rsidR="009E30D6" w14:paraId="6B3B758C" w14:textId="77777777" w:rsidTr="00DC543A">
        <w:tc>
          <w:tcPr>
            <w:tcW w:w="9064" w:type="dxa"/>
            <w:tcBorders>
              <w:top w:val="single" w:sz="6" w:space="0" w:color="0F2940"/>
              <w:left w:val="single" w:sz="6" w:space="0" w:color="0F2940"/>
              <w:bottom w:val="single" w:sz="6" w:space="0" w:color="0F2940"/>
              <w:right w:val="single" w:sz="6" w:space="0" w:color="0F2940"/>
            </w:tcBorders>
            <w:shd w:val="clear" w:color="auto" w:fill="0F2940"/>
            <w:tcMar>
              <w:top w:w="120" w:type="dxa"/>
              <w:left w:w="160" w:type="dxa"/>
              <w:bottom w:w="120" w:type="dxa"/>
              <w:right w:w="160" w:type="dxa"/>
            </w:tcMar>
          </w:tcPr>
          <w:p w14:paraId="0884D712" w14:textId="77777777" w:rsidR="009E30D6" w:rsidRDefault="009E30D6" w:rsidP="00DC543A">
            <w:pPr>
              <w:rPr>
                <w:rFonts w:ascii="Arial" w:hAnsi="Arial" w:cs="Arial"/>
              </w:rPr>
            </w:pPr>
            <w:r>
              <w:rPr>
                <w:rFonts w:ascii="Arial" w:hAnsi="Arial" w:cs="Arial"/>
                <w:b/>
                <w:bCs/>
                <w:color w:val="FFFFFF"/>
              </w:rPr>
              <w:t>Worked example: Ambient Voice Technology (AVT)</w:t>
            </w:r>
          </w:p>
        </w:tc>
      </w:tr>
      <w:tr w:rsidR="009E30D6" w14:paraId="5892013A" w14:textId="77777777" w:rsidTr="00DC543A">
        <w:tc>
          <w:tcPr>
            <w:tcW w:w="9064" w:type="dxa"/>
            <w:tcBorders>
              <w:top w:val="single" w:sz="6" w:space="0" w:color="0F2940"/>
              <w:left w:val="single" w:sz="6" w:space="0" w:color="0F2940"/>
              <w:bottom w:val="single" w:sz="6" w:space="0" w:color="0F2940"/>
              <w:right w:val="single" w:sz="6" w:space="0" w:color="0F2940"/>
            </w:tcBorders>
            <w:shd w:val="clear" w:color="auto" w:fill="E6E7F4" w:themeFill="accent5" w:themeFillTint="33"/>
            <w:tcMar>
              <w:top w:w="160" w:type="dxa"/>
              <w:left w:w="200" w:type="dxa"/>
              <w:bottom w:w="120" w:type="dxa"/>
              <w:right w:w="200" w:type="dxa"/>
            </w:tcMar>
          </w:tcPr>
          <w:p w14:paraId="63197BE9" w14:textId="77777777" w:rsidR="009E30D6" w:rsidRDefault="009E30D6" w:rsidP="00DC543A">
            <w:pPr>
              <w:spacing w:after="100" w:line="280" w:lineRule="auto"/>
              <w:rPr>
                <w:rFonts w:ascii="Arial" w:hAnsi="Arial" w:cs="Arial"/>
                <w:szCs w:val="20"/>
              </w:rPr>
            </w:pPr>
            <w:r>
              <w:rPr>
                <w:rFonts w:ascii="Arial" w:hAnsi="Arial" w:cs="Arial"/>
                <w:szCs w:val="20"/>
              </w:rPr>
              <w:t>An ACCHO is considering an ambient voice technology tool (AI scribe) that listens during consultations and drafts clinical notes for clinician review.</w:t>
            </w:r>
          </w:p>
          <w:p w14:paraId="63B383D1" w14:textId="77777777" w:rsidR="009E30D6" w:rsidRDefault="009E30D6" w:rsidP="00DC543A">
            <w:pPr>
              <w:spacing w:after="100" w:line="280" w:lineRule="auto"/>
              <w:rPr>
                <w:rFonts w:ascii="Arial" w:hAnsi="Arial" w:cs="Arial"/>
                <w:szCs w:val="20"/>
              </w:rPr>
            </w:pPr>
            <w:r w:rsidRPr="001465E6">
              <w:rPr>
                <w:rFonts w:ascii="Arial" w:hAnsi="Arial" w:cs="Arial"/>
                <w:b/>
                <w:bCs/>
                <w:color w:val="333C72" w:themeColor="accent5" w:themeShade="80"/>
                <w:szCs w:val="20"/>
              </w:rPr>
              <w:t xml:space="preserve">Culture, Community and Equity. </w:t>
            </w:r>
            <w:r>
              <w:rPr>
                <w:rFonts w:ascii="Arial" w:hAnsi="Arial" w:cs="Arial"/>
                <w:szCs w:val="20"/>
              </w:rPr>
              <w:t>Was community consulted before deployment? How is consent recorded and what happens for patients who decline? Does declining create any access barrier?</w:t>
            </w:r>
          </w:p>
          <w:p w14:paraId="78D4D186" w14:textId="77777777" w:rsidR="009E30D6" w:rsidRDefault="009E30D6" w:rsidP="00DC543A">
            <w:pPr>
              <w:spacing w:after="100" w:line="280" w:lineRule="auto"/>
              <w:rPr>
                <w:rFonts w:ascii="Arial" w:hAnsi="Arial" w:cs="Arial"/>
                <w:szCs w:val="20"/>
              </w:rPr>
            </w:pPr>
            <w:r w:rsidRPr="001465E6">
              <w:rPr>
                <w:rFonts w:ascii="Arial" w:hAnsi="Arial" w:cs="Arial"/>
                <w:b/>
                <w:bCs/>
                <w:color w:val="333C72" w:themeColor="accent5" w:themeShade="80"/>
                <w:szCs w:val="20"/>
              </w:rPr>
              <w:t xml:space="preserve">Clinical. </w:t>
            </w:r>
            <w:r>
              <w:rPr>
                <w:rFonts w:ascii="Arial" w:hAnsi="Arial" w:cs="Arial"/>
                <w:szCs w:val="20"/>
              </w:rPr>
              <w:t xml:space="preserve">Does the scribe meet the standard of care for the consultations it will be used in? Does the organisation understand who is accountable when the note is wrong? Are there triggers to review every output before saving? </w:t>
            </w:r>
          </w:p>
          <w:p w14:paraId="1776F167" w14:textId="77777777" w:rsidR="009E30D6" w:rsidRDefault="009E30D6" w:rsidP="00DC543A">
            <w:pPr>
              <w:spacing w:after="100" w:line="280" w:lineRule="auto"/>
              <w:rPr>
                <w:rFonts w:ascii="Arial" w:hAnsi="Arial" w:cs="Arial"/>
                <w:szCs w:val="20"/>
              </w:rPr>
            </w:pPr>
            <w:r w:rsidRPr="001465E6">
              <w:rPr>
                <w:rFonts w:ascii="Arial" w:hAnsi="Arial" w:cs="Arial"/>
                <w:b/>
                <w:bCs/>
                <w:color w:val="333C72" w:themeColor="accent5" w:themeShade="80"/>
                <w:szCs w:val="20"/>
              </w:rPr>
              <w:t xml:space="preserve">Technical. </w:t>
            </w:r>
            <w:r>
              <w:rPr>
                <w:rFonts w:ascii="Arial" w:hAnsi="Arial" w:cs="Arial"/>
                <w:szCs w:val="20"/>
              </w:rPr>
              <w:t>What patient data does the vendor receive, where is it processed, and what training data is the model built on? Is performance documented for Aboriginal and Torres Strait Islander patients?</w:t>
            </w:r>
          </w:p>
          <w:p w14:paraId="4917A94D" w14:textId="77777777" w:rsidR="009E30D6" w:rsidRDefault="009E30D6" w:rsidP="00DC543A">
            <w:pPr>
              <w:spacing w:after="100" w:line="280" w:lineRule="auto"/>
              <w:rPr>
                <w:rFonts w:ascii="Arial" w:hAnsi="Arial" w:cs="Arial"/>
                <w:szCs w:val="20"/>
              </w:rPr>
            </w:pPr>
            <w:r w:rsidRPr="001465E6">
              <w:rPr>
                <w:rFonts w:ascii="Arial" w:hAnsi="Arial" w:cs="Arial"/>
                <w:b/>
                <w:bCs/>
                <w:color w:val="333C72" w:themeColor="accent5" w:themeShade="80"/>
                <w:szCs w:val="20"/>
              </w:rPr>
              <w:t xml:space="preserve">Supplier accountability. </w:t>
            </w:r>
            <w:r>
              <w:rPr>
                <w:rFonts w:ascii="Arial" w:hAnsi="Arial" w:cs="Arial"/>
                <w:szCs w:val="20"/>
              </w:rPr>
              <w:t>Does the contract specify data ownership, deletion, audit rights and notification of model changes? Can the Organisation terminate without penalty if the tool causes harm?</w:t>
            </w:r>
          </w:p>
          <w:p w14:paraId="2BC6C13F" w14:textId="77777777" w:rsidR="009E30D6" w:rsidRDefault="009E30D6" w:rsidP="00DC543A">
            <w:pPr>
              <w:spacing w:after="100" w:line="280" w:lineRule="auto"/>
              <w:rPr>
                <w:rFonts w:ascii="Arial" w:hAnsi="Arial" w:cs="Arial"/>
                <w:szCs w:val="20"/>
              </w:rPr>
            </w:pPr>
            <w:r w:rsidRPr="001465E6">
              <w:rPr>
                <w:rFonts w:ascii="Arial" w:hAnsi="Arial" w:cs="Arial"/>
                <w:b/>
                <w:bCs/>
                <w:color w:val="333C72" w:themeColor="accent5" w:themeShade="80"/>
                <w:szCs w:val="20"/>
              </w:rPr>
              <w:t xml:space="preserve">Safety systems. </w:t>
            </w:r>
            <w:r>
              <w:rPr>
                <w:rFonts w:ascii="Arial" w:hAnsi="Arial" w:cs="Arial"/>
                <w:szCs w:val="20"/>
              </w:rPr>
              <w:t>Is there a monitoring cycle for transcription errors? Can the tool be switched off without disrupting clinics? Can faulty notes be corrected in the record?</w:t>
            </w:r>
          </w:p>
          <w:p w14:paraId="02F0524D" w14:textId="77777777" w:rsidR="009E30D6" w:rsidRDefault="009E30D6" w:rsidP="00DC543A">
            <w:pPr>
              <w:spacing w:after="100" w:line="280" w:lineRule="auto"/>
              <w:rPr>
                <w:rFonts w:ascii="Arial" w:hAnsi="Arial" w:cs="Arial"/>
                <w:szCs w:val="20"/>
              </w:rPr>
            </w:pPr>
            <w:r w:rsidRPr="001465E6">
              <w:rPr>
                <w:rFonts w:ascii="Arial" w:hAnsi="Arial" w:cs="Arial"/>
                <w:b/>
                <w:bCs/>
                <w:color w:val="333C72" w:themeColor="accent5" w:themeShade="80"/>
                <w:szCs w:val="20"/>
              </w:rPr>
              <w:t xml:space="preserve">People. </w:t>
            </w:r>
            <w:r>
              <w:rPr>
                <w:rFonts w:ascii="Arial" w:hAnsi="Arial" w:cs="Arial"/>
                <w:szCs w:val="20"/>
              </w:rPr>
              <w:t>Are clinicians trained on the tool's limitations? Can staff raise concerns about how it is being used without professional risk?</w:t>
            </w:r>
          </w:p>
        </w:tc>
      </w:tr>
    </w:tbl>
    <w:p w14:paraId="52226528" w14:textId="77777777" w:rsidR="00D15E4C" w:rsidRDefault="00D15E4C" w:rsidP="00B013E1">
      <w:pPr>
        <w:sectPr w:rsidR="00D15E4C" w:rsidSect="000B7E36">
          <w:pgSz w:w="11900" w:h="16840"/>
          <w:pgMar w:top="1021" w:right="1134" w:bottom="1418" w:left="1134" w:header="567" w:footer="454" w:gutter="0"/>
          <w:cols w:space="708"/>
          <w:docGrid w:linePitch="360"/>
        </w:sectPr>
      </w:pPr>
    </w:p>
    <w:p w14:paraId="1808D578" w14:textId="77777777" w:rsidR="00BC6DC4" w:rsidRPr="00BC6DC4" w:rsidRDefault="00BC6DC4" w:rsidP="00BC6DC4">
      <w:pPr>
        <w:keepNext/>
        <w:keepLines/>
        <w:spacing w:before="240" w:line="360" w:lineRule="exact"/>
        <w:outlineLvl w:val="1"/>
        <w:rPr>
          <w:rFonts w:ascii="Arial" w:eastAsiaTheme="majorEastAsia" w:hAnsi="Arial" w:cs="Arial"/>
          <w:b/>
          <w:color w:val="001441" w:themeColor="text1"/>
          <w:sz w:val="28"/>
          <w:szCs w:val="32"/>
        </w:rPr>
      </w:pPr>
      <w:bookmarkStart w:id="193" w:name="_Toc238474905"/>
      <w:bookmarkStart w:id="194" w:name="_Toc238475818"/>
      <w:bookmarkStart w:id="195" w:name="_Toc238562136"/>
      <w:bookmarkStart w:id="196" w:name="_Toc239257322"/>
      <w:bookmarkStart w:id="197" w:name="_Toc239257425"/>
      <w:bookmarkStart w:id="198" w:name="_Toc239257526"/>
      <w:bookmarkStart w:id="199" w:name="_Toc240894363"/>
      <w:bookmarkStart w:id="200" w:name="_Toc240897421"/>
      <w:bookmarkStart w:id="201" w:name="_Toc240897575"/>
      <w:bookmarkStart w:id="202" w:name="_Toc240956393"/>
      <w:r w:rsidRPr="00BC6DC4">
        <w:rPr>
          <w:rFonts w:ascii="Arial" w:eastAsiaTheme="majorEastAsia" w:hAnsi="Arial" w:cs="Arial"/>
          <w:b/>
          <w:color w:val="001441" w:themeColor="text1"/>
          <w:sz w:val="28"/>
          <w:szCs w:val="32"/>
        </w:rPr>
        <w:lastRenderedPageBreak/>
        <w:t>DOMAIN 3: Technical</w:t>
      </w:r>
      <w:bookmarkEnd w:id="193"/>
      <w:bookmarkEnd w:id="194"/>
      <w:bookmarkEnd w:id="195"/>
      <w:bookmarkEnd w:id="196"/>
      <w:bookmarkEnd w:id="197"/>
      <w:bookmarkEnd w:id="198"/>
      <w:bookmarkEnd w:id="199"/>
      <w:bookmarkEnd w:id="200"/>
      <w:bookmarkEnd w:id="201"/>
      <w:bookmarkEnd w:id="202"/>
    </w:p>
    <w:p w14:paraId="25F22068" w14:textId="77777777" w:rsidR="00BC6DC4" w:rsidRPr="00BC6DC4" w:rsidRDefault="00BC6DC4" w:rsidP="00BC6DC4">
      <w:pPr>
        <w:spacing w:after="160"/>
        <w:rPr>
          <w:rFonts w:ascii="Arial" w:hAnsi="Arial" w:cs="Arial"/>
          <w:color w:val="002060"/>
        </w:rPr>
      </w:pPr>
      <w:r w:rsidRPr="00BC6DC4">
        <w:rPr>
          <w:rFonts w:ascii="Arial" w:hAnsi="Arial" w:cs="Arial"/>
          <w:i/>
          <w:iCs/>
          <w:color w:val="002060"/>
        </w:rPr>
        <w:t>Validation, testing, model transparency and data provenance</w:t>
      </w:r>
    </w:p>
    <w:p w14:paraId="54D1F804" w14:textId="77777777" w:rsidR="00BC6DC4" w:rsidRPr="00BC6DC4" w:rsidRDefault="00BC6DC4" w:rsidP="00870960">
      <w:pPr>
        <w:pStyle w:val="NACCHOtext"/>
      </w:pPr>
      <w:r w:rsidRPr="00BC6DC4">
        <w:t xml:space="preserve">The </w:t>
      </w:r>
      <w:r w:rsidRPr="00BC6DC4">
        <w:rPr>
          <w:b/>
          <w:bCs/>
        </w:rPr>
        <w:t>Technical</w:t>
      </w:r>
      <w:r w:rsidRPr="00BC6DC4">
        <w:t xml:space="preserve"> domain examines how the AI tool was built, what data it was trained on, how it has been validated, and what is known about its performance. The integrity of the model is a precondition for everything that follows. Technical assessment of an AI tool sits within the Organisation’s broader cyber security posture, including alignment with the Australian Signals Directorate’s Essential Eight Maturity Model.</w:t>
      </w:r>
      <w:r w:rsidRPr="00BC6DC4">
        <w:rPr>
          <w:vertAlign w:val="superscript"/>
        </w:rPr>
        <w:footnoteReference w:id="2"/>
      </w:r>
    </w:p>
    <w:p w14:paraId="1624A12D" w14:textId="77777777" w:rsidR="00BC6DC4" w:rsidRPr="00BC6DC4" w:rsidRDefault="00BC6DC4" w:rsidP="00BC6DC4">
      <w:pPr>
        <w:keepNext/>
        <w:keepLines/>
        <w:spacing w:before="140"/>
        <w:outlineLvl w:val="3"/>
        <w:rPr>
          <w:rFonts w:ascii="Arial" w:eastAsiaTheme="majorEastAsia" w:hAnsi="Arial" w:cs="Arial"/>
          <w:b/>
          <w:i/>
          <w:color w:val="001441" w:themeColor="text1"/>
          <w:sz w:val="24"/>
        </w:rPr>
      </w:pPr>
      <w:r w:rsidRPr="00BC6DC4">
        <w:rPr>
          <w:rFonts w:ascii="Arial" w:eastAsiaTheme="majorEastAsia" w:hAnsi="Arial" w:cs="Arial"/>
          <w:b/>
          <w:bCs/>
          <w:color w:val="0F2940"/>
        </w:rPr>
        <w:t>Key questions:</w:t>
      </w:r>
    </w:p>
    <w:p w14:paraId="1647E828" w14:textId="77777777" w:rsidR="00BC6DC4" w:rsidRPr="00BC6DC4" w:rsidRDefault="00BC6DC4" w:rsidP="00BC6DC4">
      <w:pPr>
        <w:numPr>
          <w:ilvl w:val="0"/>
          <w:numId w:val="16"/>
        </w:numPr>
        <w:tabs>
          <w:tab w:val="clear" w:pos="284"/>
          <w:tab w:val="clear" w:pos="567"/>
          <w:tab w:val="clear" w:pos="851"/>
        </w:tabs>
        <w:spacing w:after="80" w:line="300" w:lineRule="auto"/>
        <w:rPr>
          <w:rFonts w:ascii="Arial" w:hAnsi="Arial" w:cs="Arial"/>
        </w:rPr>
      </w:pPr>
      <w:r w:rsidRPr="00BC6DC4">
        <w:rPr>
          <w:rFonts w:ascii="Arial" w:hAnsi="Arial" w:cs="Arial"/>
        </w:rPr>
        <w:t>What technical requirements has the ACCHO defined for the tool, and how does the candidate tool meet them?</w:t>
      </w:r>
    </w:p>
    <w:p w14:paraId="5FA211D5" w14:textId="77777777" w:rsidR="00BC6DC4" w:rsidRPr="00BC6DC4" w:rsidRDefault="00BC6DC4" w:rsidP="00BC6DC4">
      <w:pPr>
        <w:numPr>
          <w:ilvl w:val="0"/>
          <w:numId w:val="16"/>
        </w:numPr>
        <w:tabs>
          <w:tab w:val="clear" w:pos="284"/>
          <w:tab w:val="clear" w:pos="567"/>
          <w:tab w:val="clear" w:pos="851"/>
        </w:tabs>
        <w:spacing w:after="80" w:line="300" w:lineRule="auto"/>
        <w:rPr>
          <w:rFonts w:ascii="Arial" w:hAnsi="Arial" w:cs="Arial"/>
        </w:rPr>
      </w:pPr>
      <w:r w:rsidRPr="00BC6DC4">
        <w:rPr>
          <w:rFonts w:ascii="Arial" w:hAnsi="Arial" w:cs="Arial"/>
        </w:rPr>
        <w:t>What is the provenance of the training data, including Aboriginal and Torres Strait Islander representation, and was that data obtained with consent and consistent with Indigenous Data Sovereignty?</w:t>
      </w:r>
    </w:p>
    <w:p w14:paraId="67930745" w14:textId="77777777" w:rsidR="00BC6DC4" w:rsidRPr="00BC6DC4" w:rsidRDefault="00BC6DC4" w:rsidP="00BC6DC4">
      <w:pPr>
        <w:numPr>
          <w:ilvl w:val="0"/>
          <w:numId w:val="16"/>
        </w:numPr>
        <w:tabs>
          <w:tab w:val="clear" w:pos="284"/>
          <w:tab w:val="clear" w:pos="567"/>
          <w:tab w:val="clear" w:pos="851"/>
        </w:tabs>
        <w:spacing w:after="80" w:line="300" w:lineRule="auto"/>
        <w:rPr>
          <w:rFonts w:ascii="Arial" w:hAnsi="Arial" w:cs="Arial"/>
        </w:rPr>
      </w:pPr>
      <w:r w:rsidRPr="00BC6DC4">
        <w:rPr>
          <w:rFonts w:ascii="Arial" w:hAnsi="Arial" w:cs="Arial"/>
        </w:rPr>
        <w:t>Has the tool been independently validated, and on what populations? Is there evidence readily available of the validation?</w:t>
      </w:r>
    </w:p>
    <w:p w14:paraId="0E8ADBAE" w14:textId="77777777" w:rsidR="00BC6DC4" w:rsidRPr="00BC6DC4" w:rsidRDefault="00BC6DC4" w:rsidP="00BC6DC4">
      <w:pPr>
        <w:numPr>
          <w:ilvl w:val="0"/>
          <w:numId w:val="16"/>
        </w:numPr>
        <w:tabs>
          <w:tab w:val="clear" w:pos="284"/>
          <w:tab w:val="clear" w:pos="567"/>
          <w:tab w:val="clear" w:pos="851"/>
        </w:tabs>
        <w:spacing w:after="80" w:line="300" w:lineRule="auto"/>
        <w:rPr>
          <w:rFonts w:ascii="Arial" w:hAnsi="Arial" w:cs="Arial"/>
        </w:rPr>
      </w:pPr>
      <w:r w:rsidRPr="00BC6DC4">
        <w:rPr>
          <w:rFonts w:ascii="Arial" w:hAnsi="Arial" w:cs="Arial"/>
        </w:rPr>
        <w:t>What is the documented performance of the tool, including known failure modes and population-specific limitations?</w:t>
      </w:r>
    </w:p>
    <w:p w14:paraId="001A4E20" w14:textId="77777777" w:rsidR="00BC6DC4" w:rsidRPr="00BC6DC4" w:rsidRDefault="00BC6DC4" w:rsidP="00BC6DC4">
      <w:pPr>
        <w:numPr>
          <w:ilvl w:val="0"/>
          <w:numId w:val="16"/>
        </w:numPr>
        <w:tabs>
          <w:tab w:val="clear" w:pos="284"/>
          <w:tab w:val="clear" w:pos="567"/>
          <w:tab w:val="clear" w:pos="851"/>
        </w:tabs>
        <w:spacing w:after="80" w:line="300" w:lineRule="auto"/>
        <w:rPr>
          <w:rFonts w:ascii="Arial" w:hAnsi="Arial" w:cs="Arial"/>
        </w:rPr>
      </w:pPr>
      <w:r w:rsidRPr="00BC6DC4">
        <w:rPr>
          <w:rFonts w:ascii="Arial" w:hAnsi="Arial" w:cs="Arial"/>
        </w:rPr>
        <w:t>Is the model auditable, and under what conditions?</w:t>
      </w:r>
    </w:p>
    <w:p w14:paraId="0C33BFAD" w14:textId="77777777" w:rsidR="00BC6DC4" w:rsidRPr="00BC6DC4" w:rsidRDefault="00BC6DC4" w:rsidP="00BC6DC4">
      <w:pPr>
        <w:numPr>
          <w:ilvl w:val="0"/>
          <w:numId w:val="16"/>
        </w:numPr>
        <w:tabs>
          <w:tab w:val="clear" w:pos="284"/>
          <w:tab w:val="clear" w:pos="567"/>
          <w:tab w:val="clear" w:pos="851"/>
        </w:tabs>
        <w:spacing w:line="300" w:lineRule="auto"/>
        <w:rPr>
          <w:rFonts w:ascii="Arial" w:hAnsi="Arial" w:cs="Arial"/>
        </w:rPr>
      </w:pPr>
      <w:r w:rsidRPr="00BC6DC4">
        <w:rPr>
          <w:rFonts w:ascii="Arial" w:hAnsi="Arial" w:cs="Arial"/>
        </w:rPr>
        <w:t>How are model updates managed, communicated, and approved before deployment? Is the Organisation regularly advised on updates and the performance and testing information on any new model capabilities?</w:t>
      </w:r>
    </w:p>
    <w:tbl>
      <w:tblPr>
        <w:tblStyle w:val="TableGrid"/>
        <w:tblW w:w="0" w:type="auto"/>
        <w:tblLook w:val="04A0" w:firstRow="1" w:lastRow="0" w:firstColumn="1" w:lastColumn="0" w:noHBand="0" w:noVBand="1"/>
      </w:tblPr>
      <w:tblGrid>
        <w:gridCol w:w="9016"/>
      </w:tblGrid>
      <w:tr w:rsidR="00BC6DC4" w:rsidRPr="00BC6DC4" w14:paraId="7C96D1EF" w14:textId="77777777" w:rsidTr="00DC543A">
        <w:tc>
          <w:tcPr>
            <w:cnfStyle w:val="001000000000" w:firstRow="0" w:lastRow="0" w:firstColumn="1" w:lastColumn="0" w:oddVBand="0" w:evenVBand="0" w:oddHBand="0" w:evenHBand="0" w:firstRowFirstColumn="0" w:firstRowLastColumn="0" w:lastRowFirstColumn="0" w:lastRowLastColumn="0"/>
            <w:tcW w:w="9016" w:type="dxa"/>
            <w:shd w:val="clear" w:color="auto" w:fill="002060"/>
          </w:tcPr>
          <w:p w14:paraId="384CFD1B" w14:textId="77777777" w:rsidR="00BC6DC4" w:rsidRPr="00BC6DC4" w:rsidRDefault="00BC6DC4" w:rsidP="00BC6DC4">
            <w:pPr>
              <w:keepNext/>
              <w:keepLines/>
              <w:spacing w:before="140" w:after="60"/>
              <w:outlineLvl w:val="3"/>
              <w:rPr>
                <w:rFonts w:ascii="Arial" w:eastAsiaTheme="majorEastAsia" w:hAnsi="Arial" w:cs="Arial"/>
                <w:b/>
                <w:i/>
                <w:color w:val="FFFFFF" w:themeColor="background1"/>
                <w:sz w:val="24"/>
              </w:rPr>
            </w:pPr>
            <w:r w:rsidRPr="00BC6DC4">
              <w:rPr>
                <w:rFonts w:ascii="Arial" w:eastAsiaTheme="majorEastAsia" w:hAnsi="Arial" w:cs="Arial"/>
                <w:b/>
                <w:bCs/>
                <w:color w:val="FFFFFF" w:themeColor="background1"/>
              </w:rPr>
              <w:t>Foundational principles: how they apply in this domain</w:t>
            </w:r>
          </w:p>
        </w:tc>
      </w:tr>
      <w:tr w:rsidR="00BC6DC4" w:rsidRPr="00BC6DC4" w14:paraId="50F7AD5C" w14:textId="77777777" w:rsidTr="00DC543A">
        <w:tc>
          <w:tcPr>
            <w:cnfStyle w:val="001000000000" w:firstRow="0" w:lastRow="0" w:firstColumn="1" w:lastColumn="0" w:oddVBand="0" w:evenVBand="0" w:oddHBand="0" w:evenHBand="0" w:firstRowFirstColumn="0" w:firstRowLastColumn="0" w:lastRowFirstColumn="0" w:lastRowLastColumn="0"/>
            <w:tcW w:w="9016" w:type="dxa"/>
          </w:tcPr>
          <w:p w14:paraId="4100A646" w14:textId="77777777" w:rsidR="00BC6DC4" w:rsidRPr="00BC6DC4" w:rsidRDefault="00BC6DC4" w:rsidP="00BC6DC4">
            <w:pPr>
              <w:spacing w:before="120" w:line="300" w:lineRule="auto"/>
              <w:rPr>
                <w:rFonts w:ascii="Arial" w:hAnsi="Arial" w:cs="Arial"/>
              </w:rPr>
            </w:pPr>
            <w:r w:rsidRPr="00BC6DC4">
              <w:rPr>
                <w:rFonts w:ascii="Arial" w:hAnsi="Arial" w:cs="Arial"/>
                <w:i/>
                <w:iCs/>
                <w:color w:val="6B7280"/>
              </w:rPr>
              <w:t>Indigenous Data Sovereignty applies to training data, deployment data, and any data exported from the Organisation. A tool that cannot demonstrate compliant data handling cannot pass this domain, regardless of clinical performance.</w:t>
            </w:r>
          </w:p>
        </w:tc>
      </w:tr>
    </w:tbl>
    <w:p w14:paraId="4ADB71F3" w14:textId="77777777" w:rsidR="000C0FE1" w:rsidRDefault="000C0FE1" w:rsidP="00B013E1">
      <w:pPr>
        <w:sectPr w:rsidR="000C0FE1" w:rsidSect="00807CAF">
          <w:pgSz w:w="11900" w:h="16840"/>
          <w:pgMar w:top="1021" w:right="1134" w:bottom="1418" w:left="1134" w:header="567" w:footer="454" w:gutter="0"/>
          <w:cols w:space="708"/>
          <w:docGrid w:linePitch="360"/>
        </w:sectPr>
      </w:pPr>
    </w:p>
    <w:p w14:paraId="67165B1C" w14:textId="77777777" w:rsidR="009E30D6" w:rsidRDefault="009E30D6" w:rsidP="00B013E1"/>
    <w:p w14:paraId="4FBD4AFC" w14:textId="77777777" w:rsidR="00E1482E" w:rsidRPr="001465E6" w:rsidRDefault="00E1482E" w:rsidP="00E1482E">
      <w:pPr>
        <w:pStyle w:val="Heading2"/>
        <w:spacing w:before="240" w:after="120"/>
        <w:rPr>
          <w:rFonts w:ascii="Arial" w:hAnsi="Arial" w:cs="Arial"/>
          <w:color w:val="001441" w:themeColor="text1"/>
        </w:rPr>
      </w:pPr>
      <w:bookmarkStart w:id="203" w:name="_Toc238474906"/>
      <w:bookmarkStart w:id="204" w:name="_Toc238475819"/>
      <w:bookmarkStart w:id="205" w:name="_Toc238562137"/>
      <w:bookmarkStart w:id="206" w:name="_Toc239257323"/>
      <w:bookmarkStart w:id="207" w:name="_Toc239257426"/>
      <w:bookmarkStart w:id="208" w:name="_Toc239257527"/>
      <w:bookmarkStart w:id="209" w:name="_Toc240894364"/>
      <w:bookmarkStart w:id="210" w:name="_Toc240897422"/>
      <w:bookmarkStart w:id="211" w:name="_Toc240897576"/>
      <w:bookmarkStart w:id="212" w:name="_Toc240956394"/>
      <w:r w:rsidRPr="001465E6">
        <w:rPr>
          <w:rFonts w:ascii="Arial" w:hAnsi="Arial" w:cs="Arial"/>
          <w:color w:val="001441" w:themeColor="text1"/>
        </w:rPr>
        <w:t>DOMAIN 4: Supplier Accountability</w:t>
      </w:r>
      <w:bookmarkEnd w:id="203"/>
      <w:bookmarkEnd w:id="204"/>
      <w:bookmarkEnd w:id="205"/>
      <w:bookmarkEnd w:id="206"/>
      <w:bookmarkEnd w:id="207"/>
      <w:bookmarkEnd w:id="208"/>
      <w:bookmarkEnd w:id="209"/>
      <w:bookmarkEnd w:id="210"/>
      <w:bookmarkEnd w:id="211"/>
      <w:bookmarkEnd w:id="212"/>
    </w:p>
    <w:p w14:paraId="2BF28575" w14:textId="77777777" w:rsidR="00E1482E" w:rsidRPr="000828BE" w:rsidRDefault="00E1482E" w:rsidP="00E1482E">
      <w:pPr>
        <w:spacing w:after="160"/>
        <w:rPr>
          <w:rFonts w:ascii="Arial" w:hAnsi="Arial" w:cs="Arial"/>
          <w:color w:val="002060"/>
        </w:rPr>
      </w:pPr>
      <w:r>
        <w:rPr>
          <w:rFonts w:ascii="Arial" w:hAnsi="Arial" w:cs="Arial"/>
          <w:i/>
          <w:iCs/>
          <w:color w:val="002060"/>
        </w:rPr>
        <w:t>Contracts, intellectual property and vendor obligations</w:t>
      </w:r>
    </w:p>
    <w:p w14:paraId="11F6A02A" w14:textId="77777777" w:rsidR="00E1482E" w:rsidRPr="006F75DC" w:rsidRDefault="00E1482E" w:rsidP="00870960">
      <w:pPr>
        <w:pStyle w:val="NACCHOtext"/>
      </w:pPr>
      <w:r>
        <w:t xml:space="preserve">The </w:t>
      </w:r>
      <w:r>
        <w:rPr>
          <w:b/>
          <w:bCs/>
        </w:rPr>
        <w:t>Supplier Accountability</w:t>
      </w:r>
      <w:r>
        <w:t xml:space="preserve"> domain ensures that the contractual relationship with the AI vendor protects the ACCHO, its patients and the community. The contract is a primary mechanism for enforcing the Framework's other domains.</w:t>
      </w:r>
    </w:p>
    <w:p w14:paraId="3D6B29C0" w14:textId="77777777" w:rsidR="00E1482E" w:rsidRPr="00C50F87" w:rsidRDefault="00E1482E" w:rsidP="00E1482E">
      <w:pPr>
        <w:pStyle w:val="Heading4"/>
        <w:spacing w:before="140" w:after="120"/>
        <w:rPr>
          <w:rFonts w:ascii="Arial" w:hAnsi="Arial" w:cs="Arial"/>
          <w:b w:val="0"/>
          <w:bCs/>
          <w:i/>
          <w:iCs w:val="0"/>
          <w:color w:val="0F2940"/>
        </w:rPr>
      </w:pPr>
      <w:r>
        <w:rPr>
          <w:rFonts w:ascii="Arial" w:hAnsi="Arial" w:cs="Arial"/>
          <w:bCs/>
          <w:iCs w:val="0"/>
          <w:color w:val="0F2940"/>
        </w:rPr>
        <w:t>Key questions:</w:t>
      </w:r>
    </w:p>
    <w:p w14:paraId="532D70F5" w14:textId="77777777" w:rsidR="00E1482E" w:rsidRPr="00465CA3" w:rsidRDefault="00E1482E" w:rsidP="00E1482E">
      <w:pPr>
        <w:pStyle w:val="ListParagraph"/>
        <w:numPr>
          <w:ilvl w:val="0"/>
          <w:numId w:val="16"/>
        </w:numPr>
        <w:tabs>
          <w:tab w:val="clear" w:pos="284"/>
          <w:tab w:val="clear" w:pos="567"/>
          <w:tab w:val="clear" w:pos="851"/>
        </w:tabs>
        <w:spacing w:after="80" w:line="300" w:lineRule="auto"/>
        <w:contextualSpacing w:val="0"/>
        <w:rPr>
          <w:rFonts w:ascii="Arial" w:hAnsi="Arial" w:cs="Arial"/>
          <w:color w:val="auto"/>
        </w:rPr>
      </w:pPr>
      <w:r w:rsidRPr="00465CA3">
        <w:rPr>
          <w:rFonts w:ascii="Arial" w:hAnsi="Arial" w:cs="Arial"/>
          <w:color w:val="auto"/>
        </w:rPr>
        <w:t>Does a contract with the selected vendor align with the Organisation’s Indigenous Procurement Policy? (Where no policy exists, consider if entering into this contract will stimulate Indigenous business, economic development and employment).</w:t>
      </w:r>
    </w:p>
    <w:p w14:paraId="1153486A" w14:textId="77777777" w:rsidR="00E1482E" w:rsidRPr="00465CA3" w:rsidRDefault="00E1482E" w:rsidP="00E1482E">
      <w:pPr>
        <w:pStyle w:val="ListParagraph"/>
        <w:numPr>
          <w:ilvl w:val="0"/>
          <w:numId w:val="16"/>
        </w:numPr>
        <w:tabs>
          <w:tab w:val="clear" w:pos="284"/>
          <w:tab w:val="clear" w:pos="567"/>
          <w:tab w:val="clear" w:pos="851"/>
        </w:tabs>
        <w:spacing w:after="80" w:line="300" w:lineRule="auto"/>
        <w:contextualSpacing w:val="0"/>
        <w:rPr>
          <w:rFonts w:ascii="Arial" w:hAnsi="Arial" w:cs="Arial"/>
          <w:color w:val="auto"/>
        </w:rPr>
      </w:pPr>
      <w:r w:rsidRPr="00465CA3">
        <w:rPr>
          <w:rFonts w:ascii="Arial" w:hAnsi="Arial" w:cs="Arial"/>
          <w:color w:val="auto"/>
        </w:rPr>
        <w:t>Does the contract specify data ownership, retention and deletion obligations?</w:t>
      </w:r>
    </w:p>
    <w:p w14:paraId="430DC314" w14:textId="77777777" w:rsidR="00E1482E" w:rsidRPr="00465CA3" w:rsidRDefault="00E1482E" w:rsidP="00E1482E">
      <w:pPr>
        <w:pStyle w:val="ListParagraph"/>
        <w:numPr>
          <w:ilvl w:val="0"/>
          <w:numId w:val="16"/>
        </w:numPr>
        <w:tabs>
          <w:tab w:val="clear" w:pos="284"/>
          <w:tab w:val="clear" w:pos="567"/>
          <w:tab w:val="clear" w:pos="851"/>
        </w:tabs>
        <w:spacing w:after="80" w:line="300" w:lineRule="auto"/>
        <w:contextualSpacing w:val="0"/>
        <w:rPr>
          <w:rFonts w:ascii="Arial" w:hAnsi="Arial" w:cs="Arial"/>
          <w:color w:val="auto"/>
        </w:rPr>
      </w:pPr>
      <w:r w:rsidRPr="00465CA3">
        <w:rPr>
          <w:rFonts w:ascii="Arial" w:hAnsi="Arial" w:cs="Arial"/>
          <w:color w:val="auto"/>
        </w:rPr>
        <w:t>Does the contract require notification of adverse events, model changes and security incidents?</w:t>
      </w:r>
    </w:p>
    <w:p w14:paraId="0201B56E" w14:textId="77777777" w:rsidR="00E1482E" w:rsidRPr="00465CA3" w:rsidRDefault="00E1482E" w:rsidP="00E1482E">
      <w:pPr>
        <w:pStyle w:val="ListParagraph"/>
        <w:numPr>
          <w:ilvl w:val="0"/>
          <w:numId w:val="16"/>
        </w:numPr>
        <w:tabs>
          <w:tab w:val="clear" w:pos="284"/>
          <w:tab w:val="clear" w:pos="567"/>
          <w:tab w:val="clear" w:pos="851"/>
        </w:tabs>
        <w:spacing w:after="80" w:line="300" w:lineRule="auto"/>
        <w:contextualSpacing w:val="0"/>
        <w:rPr>
          <w:rFonts w:ascii="Arial" w:hAnsi="Arial" w:cs="Arial"/>
          <w:color w:val="auto"/>
        </w:rPr>
      </w:pPr>
      <w:r w:rsidRPr="00465CA3">
        <w:rPr>
          <w:rFonts w:ascii="Arial" w:hAnsi="Arial" w:cs="Arial"/>
          <w:color w:val="auto"/>
        </w:rPr>
        <w:t>Can the ACCHO easily audit the algorithm, the training data provenance and the deployment logs?</w:t>
      </w:r>
    </w:p>
    <w:p w14:paraId="1699E44D" w14:textId="77777777" w:rsidR="00E1482E" w:rsidRPr="00465CA3" w:rsidRDefault="00E1482E" w:rsidP="00E1482E">
      <w:pPr>
        <w:pStyle w:val="ListParagraph"/>
        <w:numPr>
          <w:ilvl w:val="0"/>
          <w:numId w:val="16"/>
        </w:numPr>
        <w:tabs>
          <w:tab w:val="clear" w:pos="284"/>
          <w:tab w:val="clear" w:pos="567"/>
          <w:tab w:val="clear" w:pos="851"/>
        </w:tabs>
        <w:spacing w:after="80" w:line="300" w:lineRule="auto"/>
        <w:contextualSpacing w:val="0"/>
        <w:rPr>
          <w:rFonts w:ascii="Arial" w:hAnsi="Arial" w:cs="Arial"/>
          <w:color w:val="auto"/>
        </w:rPr>
      </w:pPr>
      <w:r w:rsidRPr="00465CA3">
        <w:rPr>
          <w:rFonts w:ascii="Arial" w:hAnsi="Arial" w:cs="Arial"/>
          <w:color w:val="auto"/>
        </w:rPr>
        <w:t>Can the ACCHO terminate the contract without penalty if the tool causes harm or fails to perform in a way that is culturally safe for its community?</w:t>
      </w:r>
    </w:p>
    <w:p w14:paraId="28D81F50" w14:textId="77777777" w:rsidR="00E1482E" w:rsidRPr="00465CA3" w:rsidRDefault="00E1482E" w:rsidP="00E1482E">
      <w:pPr>
        <w:pStyle w:val="ListParagraph"/>
        <w:numPr>
          <w:ilvl w:val="0"/>
          <w:numId w:val="16"/>
        </w:numPr>
        <w:tabs>
          <w:tab w:val="clear" w:pos="284"/>
          <w:tab w:val="clear" w:pos="567"/>
          <w:tab w:val="clear" w:pos="851"/>
        </w:tabs>
        <w:spacing w:after="80" w:line="300" w:lineRule="auto"/>
        <w:contextualSpacing w:val="0"/>
        <w:rPr>
          <w:rFonts w:ascii="Arial" w:hAnsi="Arial" w:cs="Arial"/>
          <w:color w:val="auto"/>
        </w:rPr>
      </w:pPr>
      <w:r w:rsidRPr="00465CA3">
        <w:rPr>
          <w:rFonts w:ascii="Arial" w:hAnsi="Arial" w:cs="Arial"/>
          <w:color w:val="auto"/>
        </w:rPr>
        <w:t>Does the contract reflect Indigenous Data Sovereignty obligations, including community consent and onward use restrictions?</w:t>
      </w:r>
    </w:p>
    <w:p w14:paraId="06361988" w14:textId="77777777" w:rsidR="00E1482E" w:rsidRDefault="00E1482E" w:rsidP="00E1482E">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Where the AI tool is offered free of cost, consumer-tier or otherwise has no commercial contract, what controls compensate for the absence of audit rights, deletion obligations, breach notification and termination protections? In most cases, the tool should be thoroughly interrogated for Organisational use.</w:t>
      </w:r>
    </w:p>
    <w:p w14:paraId="647E253C" w14:textId="77777777" w:rsidR="00E1482E" w:rsidRDefault="00E1482E" w:rsidP="00E1482E">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Is the Organisation’s professional indemnity, cyber and public liability insurance valid for the use of this AI tool in care, and has the insurer been notified that the tool is in use?</w:t>
      </w:r>
    </w:p>
    <w:p w14:paraId="56675CCA" w14:textId="77777777" w:rsidR="00E1482E" w:rsidRDefault="00E1482E" w:rsidP="00E1482E">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Is the user’s professional indemnity insurance valid for use of this AI tool in care, and has the insurer been notified that the tool is in use?</w:t>
      </w:r>
    </w:p>
    <w:p w14:paraId="565FA419" w14:textId="77777777" w:rsidR="00E1482E" w:rsidRDefault="00E1482E" w:rsidP="00E1482E">
      <w:pPr>
        <w:pStyle w:val="ListParagraph"/>
        <w:numPr>
          <w:ilvl w:val="0"/>
          <w:numId w:val="16"/>
        </w:numPr>
        <w:tabs>
          <w:tab w:val="clear" w:pos="284"/>
          <w:tab w:val="clear" w:pos="567"/>
          <w:tab w:val="clear" w:pos="851"/>
        </w:tabs>
        <w:spacing w:line="300" w:lineRule="auto"/>
        <w:contextualSpacing w:val="0"/>
        <w:rPr>
          <w:rFonts w:ascii="Arial" w:hAnsi="Arial" w:cs="Arial"/>
        </w:rPr>
      </w:pPr>
      <w:r>
        <w:rPr>
          <w:rFonts w:ascii="Arial" w:hAnsi="Arial" w:cs="Arial"/>
        </w:rPr>
        <w:t>Does the use of this tool comply with the conditions of the Organisation’s funding agreements, including any data residency, security, audit or reporting obligations placed by funders?</w:t>
      </w:r>
    </w:p>
    <w:tbl>
      <w:tblPr>
        <w:tblStyle w:val="TableGrid"/>
        <w:tblW w:w="9493" w:type="dxa"/>
        <w:tblLook w:val="04A0" w:firstRow="1" w:lastRow="0" w:firstColumn="1" w:lastColumn="0" w:noHBand="0" w:noVBand="1"/>
      </w:tblPr>
      <w:tblGrid>
        <w:gridCol w:w="9493"/>
      </w:tblGrid>
      <w:tr w:rsidR="00E1482E" w:rsidRPr="00C50F87" w14:paraId="307A4554" w14:textId="77777777" w:rsidTr="00DC543A">
        <w:tc>
          <w:tcPr>
            <w:cnfStyle w:val="001000000000" w:firstRow="0" w:lastRow="0" w:firstColumn="1" w:lastColumn="0" w:oddVBand="0" w:evenVBand="0" w:oddHBand="0" w:evenHBand="0" w:firstRowFirstColumn="0" w:firstRowLastColumn="0" w:lastRowFirstColumn="0" w:lastRowLastColumn="0"/>
            <w:tcW w:w="9493" w:type="dxa"/>
            <w:shd w:val="clear" w:color="auto" w:fill="002060"/>
          </w:tcPr>
          <w:p w14:paraId="2E273072" w14:textId="77777777" w:rsidR="00E1482E" w:rsidRPr="00C50F87" w:rsidRDefault="00E1482E" w:rsidP="00DC543A">
            <w:pPr>
              <w:pStyle w:val="Heading4"/>
              <w:spacing w:before="140"/>
              <w:rPr>
                <w:rFonts w:ascii="Arial" w:hAnsi="Arial" w:cs="Arial"/>
                <w:i/>
                <w:iCs w:val="0"/>
                <w:color w:val="FFFFFF" w:themeColor="background1"/>
                <w:sz w:val="24"/>
              </w:rPr>
            </w:pPr>
            <w:r>
              <w:rPr>
                <w:rFonts w:ascii="Arial" w:hAnsi="Arial" w:cs="Arial"/>
                <w:bCs/>
                <w:iCs w:val="0"/>
                <w:color w:val="FFFFFF" w:themeColor="background1"/>
              </w:rPr>
              <w:t>Foundational principles: how they apply in this domain</w:t>
            </w:r>
          </w:p>
        </w:tc>
      </w:tr>
      <w:tr w:rsidR="00E1482E" w:rsidRPr="00C50F87" w14:paraId="099035BE" w14:textId="77777777" w:rsidTr="00DC543A">
        <w:tc>
          <w:tcPr>
            <w:cnfStyle w:val="001000000000" w:firstRow="0" w:lastRow="0" w:firstColumn="1" w:lastColumn="0" w:oddVBand="0" w:evenVBand="0" w:oddHBand="0" w:evenHBand="0" w:firstRowFirstColumn="0" w:firstRowLastColumn="0" w:lastRowFirstColumn="0" w:lastRowLastColumn="0"/>
            <w:tcW w:w="9493" w:type="dxa"/>
          </w:tcPr>
          <w:p w14:paraId="5DC27F08" w14:textId="77777777" w:rsidR="00E1482E" w:rsidRPr="00C50F87" w:rsidRDefault="00E1482E" w:rsidP="00DC543A">
            <w:pPr>
              <w:spacing w:before="120" w:line="300" w:lineRule="auto"/>
              <w:rPr>
                <w:rFonts w:ascii="Arial" w:hAnsi="Arial" w:cs="Arial"/>
              </w:rPr>
            </w:pPr>
            <w:r>
              <w:rPr>
                <w:rFonts w:ascii="Arial" w:hAnsi="Arial" w:cs="Arial"/>
                <w:i/>
                <w:iCs/>
                <w:color w:val="6B7280"/>
              </w:rPr>
              <w:t>Community Authority requires that procurement decisions are not made by individual clinicians or IT staff acting alone. Indigenous Data Sovereignty obligations, where chosen to be exercised, must be enforceable through the contract, not held as informal assurance without full transparency of actual practice.</w:t>
            </w:r>
          </w:p>
        </w:tc>
      </w:tr>
    </w:tbl>
    <w:p w14:paraId="416742D3" w14:textId="77777777" w:rsidR="00E1482E" w:rsidRDefault="00E1482E" w:rsidP="00E1482E"/>
    <w:tbl>
      <w:tblPr>
        <w:tblW w:w="9500" w:type="dxa"/>
        <w:tblLook w:val="04A0" w:firstRow="1" w:lastRow="0" w:firstColumn="1" w:lastColumn="0" w:noHBand="0" w:noVBand="1"/>
      </w:tblPr>
      <w:tblGrid>
        <w:gridCol w:w="9500"/>
      </w:tblGrid>
      <w:tr w:rsidR="00E1482E" w14:paraId="666B325F" w14:textId="77777777" w:rsidTr="00DC543A">
        <w:tc>
          <w:tcPr>
            <w:tcW w:w="9500" w:type="dxa"/>
            <w:tcBorders>
              <w:top w:val="single" w:sz="6" w:space="0" w:color="0F2940"/>
              <w:left w:val="single" w:sz="6" w:space="0" w:color="0F2940"/>
              <w:bottom w:val="single" w:sz="6" w:space="0" w:color="0F2940"/>
              <w:right w:val="single" w:sz="6" w:space="0" w:color="0F2940"/>
            </w:tcBorders>
            <w:shd w:val="clear" w:color="auto" w:fill="0F2940"/>
            <w:tcMar>
              <w:top w:w="120" w:type="dxa"/>
              <w:left w:w="160" w:type="dxa"/>
              <w:bottom w:w="120" w:type="dxa"/>
              <w:right w:w="160" w:type="dxa"/>
            </w:tcMar>
          </w:tcPr>
          <w:p w14:paraId="317B68AB" w14:textId="77777777" w:rsidR="00E1482E" w:rsidRDefault="00E1482E" w:rsidP="00DC543A">
            <w:pPr>
              <w:rPr>
                <w:rFonts w:ascii="Arial" w:hAnsi="Arial" w:cs="Arial"/>
              </w:rPr>
            </w:pPr>
            <w:r>
              <w:rPr>
                <w:rFonts w:ascii="Arial" w:hAnsi="Arial" w:cs="Arial"/>
                <w:b/>
                <w:bCs/>
                <w:color w:val="FFFFFF"/>
              </w:rPr>
              <w:t>Worked example</w:t>
            </w:r>
          </w:p>
        </w:tc>
      </w:tr>
      <w:tr w:rsidR="00E1482E" w14:paraId="4434FA0F" w14:textId="77777777" w:rsidTr="00DC543A">
        <w:tc>
          <w:tcPr>
            <w:tcW w:w="9500" w:type="dxa"/>
            <w:tcBorders>
              <w:top w:val="single" w:sz="6" w:space="0" w:color="0F2940"/>
              <w:left w:val="single" w:sz="6" w:space="0" w:color="0F2940"/>
              <w:bottom w:val="single" w:sz="6" w:space="0" w:color="0F2940"/>
              <w:right w:val="single" w:sz="6" w:space="0" w:color="0F2940"/>
            </w:tcBorders>
            <w:shd w:val="clear" w:color="auto" w:fill="E6E7F4" w:themeFill="accent5" w:themeFillTint="33"/>
            <w:tcMar>
              <w:top w:w="160" w:type="dxa"/>
              <w:left w:w="200" w:type="dxa"/>
              <w:bottom w:w="120" w:type="dxa"/>
              <w:right w:w="200" w:type="dxa"/>
            </w:tcMar>
          </w:tcPr>
          <w:p w14:paraId="397866F1" w14:textId="77777777" w:rsidR="00E1482E" w:rsidRDefault="00E1482E" w:rsidP="00DC543A">
            <w:pPr>
              <w:spacing w:after="100" w:line="280" w:lineRule="auto"/>
              <w:rPr>
                <w:rFonts w:ascii="Arial" w:hAnsi="Arial" w:cs="Arial"/>
                <w:szCs w:val="20"/>
              </w:rPr>
            </w:pPr>
            <w:r>
              <w:rPr>
                <w:rFonts w:ascii="Arial" w:hAnsi="Arial" w:cs="Arial"/>
                <w:szCs w:val="20"/>
              </w:rPr>
              <w:t>An ACCHO is approached by a vendor offering a patient-facing AI chatbot for booking, recalls, and general health information.</w:t>
            </w:r>
          </w:p>
          <w:p w14:paraId="5B11EBC3" w14:textId="77777777" w:rsidR="00E1482E" w:rsidRDefault="00E1482E" w:rsidP="00DC543A">
            <w:pPr>
              <w:spacing w:after="100" w:line="280" w:lineRule="auto"/>
              <w:rPr>
                <w:rFonts w:ascii="Arial" w:hAnsi="Arial" w:cs="Arial"/>
                <w:szCs w:val="20"/>
              </w:rPr>
            </w:pPr>
            <w:r w:rsidRPr="001465E6">
              <w:rPr>
                <w:rFonts w:ascii="Arial" w:hAnsi="Arial" w:cs="Arial"/>
                <w:b/>
                <w:bCs/>
                <w:color w:val="333C72" w:themeColor="accent5" w:themeShade="80"/>
                <w:szCs w:val="20"/>
              </w:rPr>
              <w:t xml:space="preserve">Clinical. </w:t>
            </w:r>
            <w:r>
              <w:rPr>
                <w:rFonts w:ascii="Arial" w:hAnsi="Arial" w:cs="Arial"/>
                <w:szCs w:val="20"/>
              </w:rPr>
              <w:t>Where does the chatbot's scope end? What happens when a patient asks a clinical question, and is the handoff to a clinician documented? Is the tool ever the only point of contact?</w:t>
            </w:r>
          </w:p>
          <w:p w14:paraId="598E8B3A" w14:textId="77777777" w:rsidR="00E1482E" w:rsidRDefault="00E1482E" w:rsidP="00DC543A">
            <w:pPr>
              <w:spacing w:after="100" w:line="280" w:lineRule="auto"/>
              <w:rPr>
                <w:rFonts w:ascii="Arial" w:hAnsi="Arial" w:cs="Arial"/>
                <w:szCs w:val="20"/>
              </w:rPr>
            </w:pPr>
            <w:r w:rsidRPr="001465E6">
              <w:rPr>
                <w:rFonts w:ascii="Arial" w:hAnsi="Arial" w:cs="Arial"/>
                <w:b/>
                <w:bCs/>
                <w:color w:val="333C72" w:themeColor="accent5" w:themeShade="80"/>
                <w:szCs w:val="20"/>
              </w:rPr>
              <w:lastRenderedPageBreak/>
              <w:t xml:space="preserve">Technical. </w:t>
            </w:r>
            <w:r>
              <w:rPr>
                <w:rFonts w:ascii="Arial" w:hAnsi="Arial" w:cs="Arial"/>
                <w:szCs w:val="20"/>
              </w:rPr>
              <w:t>What patient data does the chatbot collect, store and reuse? Is the model auditable? How are responses validated for cultural appropriateness and clinical safety?</w:t>
            </w:r>
          </w:p>
          <w:p w14:paraId="4C8025C8" w14:textId="77777777" w:rsidR="00E1482E" w:rsidRDefault="00E1482E" w:rsidP="00DC543A">
            <w:pPr>
              <w:spacing w:after="100" w:line="280" w:lineRule="auto"/>
              <w:rPr>
                <w:rFonts w:ascii="Arial" w:hAnsi="Arial" w:cs="Arial"/>
                <w:szCs w:val="20"/>
              </w:rPr>
            </w:pPr>
            <w:r w:rsidRPr="001465E6">
              <w:rPr>
                <w:rFonts w:ascii="Arial" w:hAnsi="Arial" w:cs="Arial"/>
                <w:b/>
                <w:bCs/>
                <w:color w:val="333C72" w:themeColor="accent5" w:themeShade="80"/>
                <w:szCs w:val="20"/>
              </w:rPr>
              <w:t xml:space="preserve">Supplier accountability. </w:t>
            </w:r>
            <w:r>
              <w:rPr>
                <w:rFonts w:ascii="Arial" w:hAnsi="Arial" w:cs="Arial"/>
                <w:szCs w:val="20"/>
              </w:rPr>
              <w:t>Who owns the conversation data? Can the Organisation audit the model and its responses? Does the contract notify the Organisation when the underlying model changes?</w:t>
            </w:r>
          </w:p>
          <w:p w14:paraId="6B365134" w14:textId="77777777" w:rsidR="00E1482E" w:rsidRDefault="00E1482E" w:rsidP="00DC543A">
            <w:pPr>
              <w:spacing w:after="100" w:line="280" w:lineRule="auto"/>
              <w:rPr>
                <w:rFonts w:ascii="Arial" w:hAnsi="Arial" w:cs="Arial"/>
                <w:szCs w:val="20"/>
              </w:rPr>
            </w:pPr>
            <w:r w:rsidRPr="001465E6">
              <w:rPr>
                <w:rFonts w:ascii="Arial" w:hAnsi="Arial" w:cs="Arial"/>
                <w:b/>
                <w:bCs/>
                <w:color w:val="333C72" w:themeColor="accent5" w:themeShade="80"/>
                <w:szCs w:val="20"/>
              </w:rPr>
              <w:t xml:space="preserve">Safety systems. </w:t>
            </w:r>
            <w:r>
              <w:rPr>
                <w:rFonts w:ascii="Arial" w:hAnsi="Arial" w:cs="Arial"/>
                <w:szCs w:val="20"/>
              </w:rPr>
              <w:t>How are escalations from chatbot conversations triaged into the Organisation's existing systems? Is there a defined fallback when the chatbot is offline?</w:t>
            </w:r>
          </w:p>
          <w:p w14:paraId="1DD63925" w14:textId="77777777" w:rsidR="00E1482E" w:rsidRDefault="00E1482E" w:rsidP="00DC543A">
            <w:pPr>
              <w:spacing w:after="100" w:line="280" w:lineRule="auto"/>
              <w:rPr>
                <w:rFonts w:ascii="Arial" w:hAnsi="Arial" w:cs="Arial"/>
                <w:szCs w:val="20"/>
              </w:rPr>
            </w:pPr>
            <w:r w:rsidRPr="001465E6">
              <w:rPr>
                <w:rFonts w:ascii="Arial" w:hAnsi="Arial" w:cs="Arial"/>
                <w:b/>
                <w:bCs/>
                <w:color w:val="333C72" w:themeColor="accent5" w:themeShade="80"/>
                <w:szCs w:val="20"/>
              </w:rPr>
              <w:t xml:space="preserve">People. </w:t>
            </w:r>
            <w:r>
              <w:rPr>
                <w:rFonts w:ascii="Arial" w:hAnsi="Arial" w:cs="Arial"/>
                <w:szCs w:val="20"/>
              </w:rPr>
              <w:t>Who in the Organisation is accountable for the chatbot's behaviour? Are staff trained to review escalations and override the tool where needed?</w:t>
            </w:r>
          </w:p>
          <w:p w14:paraId="3E5B00A8" w14:textId="77777777" w:rsidR="00E1482E" w:rsidRDefault="00E1482E" w:rsidP="00DC543A">
            <w:pPr>
              <w:spacing w:after="100" w:line="280" w:lineRule="auto"/>
              <w:rPr>
                <w:rFonts w:ascii="Arial" w:hAnsi="Arial" w:cs="Arial"/>
                <w:szCs w:val="20"/>
              </w:rPr>
            </w:pPr>
            <w:r w:rsidRPr="001465E6">
              <w:rPr>
                <w:rFonts w:ascii="Arial" w:hAnsi="Arial" w:cs="Arial"/>
                <w:b/>
                <w:bCs/>
                <w:color w:val="333C72" w:themeColor="accent5" w:themeShade="80"/>
                <w:szCs w:val="20"/>
              </w:rPr>
              <w:t xml:space="preserve">Culture, Community and Equity. </w:t>
            </w:r>
            <w:r>
              <w:rPr>
                <w:rFonts w:ascii="Arial" w:hAnsi="Arial" w:cs="Arial"/>
                <w:szCs w:val="20"/>
              </w:rPr>
              <w:t>Does the chatbot's language, tone and content reflect the community it serves? How was that tested with community? Can patients reach a human without barrier? If a patient chooses not to engage with the chatbot, is there alternate entry points to the service to ensure equity of access and care provision?</w:t>
            </w:r>
          </w:p>
        </w:tc>
      </w:tr>
    </w:tbl>
    <w:p w14:paraId="5FAF669F" w14:textId="77777777" w:rsidR="000C0FE1" w:rsidRDefault="000C0FE1" w:rsidP="00B013E1">
      <w:pPr>
        <w:sectPr w:rsidR="000C0FE1" w:rsidSect="000B7E36">
          <w:pgSz w:w="11900" w:h="16840"/>
          <w:pgMar w:top="1021" w:right="1134" w:bottom="1418" w:left="1134" w:header="567" w:footer="454" w:gutter="0"/>
          <w:cols w:space="708"/>
          <w:docGrid w:linePitch="360"/>
        </w:sectPr>
      </w:pPr>
    </w:p>
    <w:p w14:paraId="273F725D" w14:textId="77777777" w:rsidR="0096248D" w:rsidRPr="001465E6" w:rsidRDefault="0096248D" w:rsidP="0096248D">
      <w:pPr>
        <w:pStyle w:val="Heading2"/>
        <w:spacing w:before="240" w:after="120"/>
        <w:rPr>
          <w:rFonts w:ascii="Arial" w:hAnsi="Arial" w:cs="Arial"/>
          <w:color w:val="001441" w:themeColor="text1"/>
        </w:rPr>
      </w:pPr>
      <w:bookmarkStart w:id="213" w:name="_Toc238474907"/>
      <w:bookmarkStart w:id="214" w:name="_Toc238475820"/>
      <w:bookmarkStart w:id="215" w:name="_Toc238562138"/>
      <w:bookmarkStart w:id="216" w:name="_Toc239257324"/>
      <w:bookmarkStart w:id="217" w:name="_Toc239257427"/>
      <w:bookmarkStart w:id="218" w:name="_Toc239257528"/>
      <w:bookmarkStart w:id="219" w:name="_Toc240894365"/>
      <w:bookmarkStart w:id="220" w:name="_Toc240897423"/>
      <w:bookmarkStart w:id="221" w:name="_Toc240897577"/>
      <w:bookmarkStart w:id="222" w:name="_Toc240956395"/>
      <w:r w:rsidRPr="001465E6">
        <w:rPr>
          <w:rFonts w:ascii="Arial" w:hAnsi="Arial" w:cs="Arial"/>
          <w:color w:val="001441" w:themeColor="text1"/>
        </w:rPr>
        <w:lastRenderedPageBreak/>
        <w:t>DOMAIN 5: Safety systems</w:t>
      </w:r>
      <w:bookmarkEnd w:id="213"/>
      <w:bookmarkEnd w:id="214"/>
      <w:bookmarkEnd w:id="215"/>
      <w:bookmarkEnd w:id="216"/>
      <w:bookmarkEnd w:id="217"/>
      <w:bookmarkEnd w:id="218"/>
      <w:bookmarkEnd w:id="219"/>
      <w:bookmarkEnd w:id="220"/>
      <w:bookmarkEnd w:id="221"/>
      <w:bookmarkEnd w:id="222"/>
    </w:p>
    <w:p w14:paraId="48131A00" w14:textId="77777777" w:rsidR="0096248D" w:rsidRPr="000C6FF9" w:rsidRDefault="0096248D" w:rsidP="0096248D">
      <w:pPr>
        <w:spacing w:after="160"/>
        <w:rPr>
          <w:rFonts w:ascii="Arial" w:hAnsi="Arial" w:cs="Arial"/>
          <w:i/>
          <w:color w:val="002060"/>
        </w:rPr>
      </w:pPr>
      <w:r>
        <w:rPr>
          <w:rFonts w:ascii="Arial" w:hAnsi="Arial" w:cs="Arial"/>
          <w:i/>
          <w:iCs/>
          <w:color w:val="002060"/>
        </w:rPr>
        <w:t>Workflows, escalation pathways</w:t>
      </w:r>
      <w:r w:rsidRPr="000C6FF9">
        <w:rPr>
          <w:rFonts w:ascii="Arial" w:hAnsi="Arial" w:cs="Arial"/>
          <w:i/>
          <w:color w:val="002060"/>
        </w:rPr>
        <w:t>, monitoring and audit, incident management</w:t>
      </w:r>
    </w:p>
    <w:p w14:paraId="1FD93F07" w14:textId="77777777" w:rsidR="0096248D" w:rsidRPr="006F75DC" w:rsidRDefault="0096248D" w:rsidP="00870960">
      <w:pPr>
        <w:pStyle w:val="NACCHOtext"/>
      </w:pPr>
      <w:r>
        <w:t xml:space="preserve">The </w:t>
      </w:r>
      <w:r>
        <w:rPr>
          <w:b/>
          <w:bCs/>
        </w:rPr>
        <w:t>Safety Systems</w:t>
      </w:r>
      <w:r>
        <w:t xml:space="preserve"> domain establishes how the AI tool integrates with the existing clinical and operational infrastructure of the ACCHO, including workflows, reporting lines, incident management and business continuity. This domain covers both </w:t>
      </w:r>
      <w:r w:rsidRPr="005823D5">
        <w:rPr>
          <w:i/>
          <w:iCs/>
        </w:rPr>
        <w:t>proactive</w:t>
      </w:r>
      <w:r>
        <w:t xml:space="preserve"> safety (the monitoring and audit cycle that catches issues before they become incidents) and </w:t>
      </w:r>
      <w:r w:rsidRPr="005823D5">
        <w:rPr>
          <w:i/>
          <w:iCs/>
        </w:rPr>
        <w:t>reactive</w:t>
      </w:r>
      <w:r>
        <w:t xml:space="preserve"> safety (the management of incidents once they occur). Both are required.</w:t>
      </w:r>
    </w:p>
    <w:p w14:paraId="6C53BEE4" w14:textId="77777777" w:rsidR="0096248D" w:rsidRPr="00C50F87" w:rsidRDefault="0096248D" w:rsidP="0096248D">
      <w:pPr>
        <w:pStyle w:val="Heading4"/>
        <w:spacing w:before="140" w:after="120"/>
        <w:rPr>
          <w:rFonts w:ascii="Arial" w:hAnsi="Arial" w:cs="Arial"/>
          <w:b w:val="0"/>
          <w:bCs/>
          <w:i/>
          <w:iCs w:val="0"/>
          <w:color w:val="0F2940"/>
        </w:rPr>
      </w:pPr>
      <w:r>
        <w:rPr>
          <w:rFonts w:ascii="Arial" w:hAnsi="Arial" w:cs="Arial"/>
          <w:bCs/>
          <w:iCs w:val="0"/>
          <w:color w:val="0F2940"/>
        </w:rPr>
        <w:t>Key questions:</w:t>
      </w:r>
    </w:p>
    <w:p w14:paraId="63CF1861" w14:textId="77777777" w:rsidR="0096248D" w:rsidRPr="006F75DC" w:rsidRDefault="0096248D" w:rsidP="0096248D">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How does the tool integrate with existing clinical workflows, and what changes when it fails?</w:t>
      </w:r>
    </w:p>
    <w:p w14:paraId="1AE71C47" w14:textId="77777777" w:rsidR="0096248D" w:rsidRDefault="0096248D" w:rsidP="0096248D">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Is there a defined audit and monitoring cycle for the tool's performance against the Framework, with findings reported through clinical governance and the Board, rather than only acting when an incident is raised?</w:t>
      </w:r>
    </w:p>
    <w:p w14:paraId="2F349DDF" w14:textId="77777777" w:rsidR="0096248D" w:rsidRPr="006F75DC" w:rsidRDefault="0096248D" w:rsidP="0096248D">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Is there a defined escalation pathway for AI-related clinical incidents, and does it reach the appropriate accountable person?</w:t>
      </w:r>
    </w:p>
    <w:p w14:paraId="109931D5" w14:textId="77777777" w:rsidR="0096248D" w:rsidRPr="006F75DC" w:rsidRDefault="0096248D" w:rsidP="0096248D">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Does the existing incident management system capture AI-specific failure modes?</w:t>
      </w:r>
    </w:p>
    <w:p w14:paraId="6019663C" w14:textId="77777777" w:rsidR="0096248D" w:rsidRPr="006F75DC" w:rsidRDefault="0096248D" w:rsidP="0096248D">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Is there a documented fallback workflow for when the tool is unavailable?</w:t>
      </w:r>
    </w:p>
    <w:p w14:paraId="4973EBEE" w14:textId="77777777" w:rsidR="0096248D" w:rsidRDefault="0096248D" w:rsidP="0096248D">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Can the tool be switched off immediately without disrupting core clinical operations?</w:t>
      </w:r>
    </w:p>
    <w:p w14:paraId="7F2EE505" w14:textId="77777777" w:rsidR="0096248D" w:rsidRDefault="0096248D" w:rsidP="0096248D">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Can the tool's outputs be recalled from the clinical information system, including correcting faulty information saved to a patient record?</w:t>
      </w:r>
    </w:p>
    <w:p w14:paraId="4514EFAC" w14:textId="77777777" w:rsidR="0096248D" w:rsidRDefault="0096248D" w:rsidP="0096248D">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When the tool fails, produces a harmful output, or experiences a data breach, what is the recovery and control process? Does this include correcting the record, notifying affected patients and community, restoring service operation, and re-assessing the tool before it returns to use?</w:t>
      </w:r>
    </w:p>
    <w:tbl>
      <w:tblPr>
        <w:tblStyle w:val="TableGrid"/>
        <w:tblW w:w="9493" w:type="dxa"/>
        <w:tblLook w:val="04A0" w:firstRow="1" w:lastRow="0" w:firstColumn="1" w:lastColumn="0" w:noHBand="0" w:noVBand="1"/>
      </w:tblPr>
      <w:tblGrid>
        <w:gridCol w:w="9493"/>
      </w:tblGrid>
      <w:tr w:rsidR="0096248D" w:rsidRPr="00C50F87" w14:paraId="3400E8A4" w14:textId="77777777" w:rsidTr="00DC543A">
        <w:tc>
          <w:tcPr>
            <w:cnfStyle w:val="001000000000" w:firstRow="0" w:lastRow="0" w:firstColumn="1" w:lastColumn="0" w:oddVBand="0" w:evenVBand="0" w:oddHBand="0" w:evenHBand="0" w:firstRowFirstColumn="0" w:firstRowLastColumn="0" w:lastRowFirstColumn="0" w:lastRowLastColumn="0"/>
            <w:tcW w:w="9493" w:type="dxa"/>
            <w:shd w:val="clear" w:color="auto" w:fill="002060"/>
          </w:tcPr>
          <w:p w14:paraId="4F3B60E4" w14:textId="77777777" w:rsidR="0096248D" w:rsidRPr="00C50F87" w:rsidRDefault="0096248D" w:rsidP="00DC543A">
            <w:pPr>
              <w:pStyle w:val="Heading4"/>
              <w:spacing w:before="140"/>
              <w:rPr>
                <w:rFonts w:ascii="Arial" w:hAnsi="Arial" w:cs="Arial"/>
                <w:i/>
                <w:iCs w:val="0"/>
                <w:color w:val="FFFFFF" w:themeColor="background1"/>
                <w:sz w:val="24"/>
              </w:rPr>
            </w:pPr>
            <w:r>
              <w:rPr>
                <w:rFonts w:ascii="Arial" w:hAnsi="Arial" w:cs="Arial"/>
                <w:bCs/>
                <w:iCs w:val="0"/>
                <w:color w:val="FFFFFF" w:themeColor="background1"/>
              </w:rPr>
              <w:t>Foundational principles: how they apply in this domain</w:t>
            </w:r>
          </w:p>
        </w:tc>
      </w:tr>
      <w:tr w:rsidR="0096248D" w:rsidRPr="00C50F87" w14:paraId="1A834258" w14:textId="77777777" w:rsidTr="00DC543A">
        <w:tc>
          <w:tcPr>
            <w:cnfStyle w:val="001000000000" w:firstRow="0" w:lastRow="0" w:firstColumn="1" w:lastColumn="0" w:oddVBand="0" w:evenVBand="0" w:oddHBand="0" w:evenHBand="0" w:firstRowFirstColumn="0" w:firstRowLastColumn="0" w:lastRowFirstColumn="0" w:lastRowLastColumn="0"/>
            <w:tcW w:w="9493" w:type="dxa"/>
          </w:tcPr>
          <w:p w14:paraId="21E99EF1" w14:textId="77777777" w:rsidR="0096248D" w:rsidRPr="00C50F87" w:rsidRDefault="0096248D" w:rsidP="00DC543A">
            <w:pPr>
              <w:spacing w:before="120" w:line="300" w:lineRule="auto"/>
              <w:rPr>
                <w:rFonts w:ascii="Arial" w:hAnsi="Arial" w:cs="Arial"/>
              </w:rPr>
            </w:pPr>
            <w:r>
              <w:rPr>
                <w:rFonts w:ascii="Arial" w:hAnsi="Arial" w:cs="Arial"/>
                <w:i/>
                <w:iCs/>
                <w:color w:val="6B7280"/>
              </w:rPr>
              <w:t>Cultural Safety in this domain means that incident management must reach community and clinical governance committees in a culturally safe way, not only the vendor, the technology lead or a regulator. Human Judgement means any AI-enabled tool has human oversight, linking it to existing safety and quality systems to monitor, escalate and report to the Board.</w:t>
            </w:r>
          </w:p>
        </w:tc>
      </w:tr>
    </w:tbl>
    <w:p w14:paraId="23E46142" w14:textId="77777777" w:rsidR="00063E9F" w:rsidRDefault="00063E9F" w:rsidP="00B013E1"/>
    <w:tbl>
      <w:tblPr>
        <w:tblW w:w="9500" w:type="dxa"/>
        <w:tblLook w:val="04A0" w:firstRow="1" w:lastRow="0" w:firstColumn="1" w:lastColumn="0" w:noHBand="0" w:noVBand="1"/>
      </w:tblPr>
      <w:tblGrid>
        <w:gridCol w:w="9500"/>
      </w:tblGrid>
      <w:tr w:rsidR="005A1071" w14:paraId="79ED63B0" w14:textId="77777777" w:rsidTr="00DC543A">
        <w:tc>
          <w:tcPr>
            <w:tcW w:w="9500" w:type="dxa"/>
            <w:tcBorders>
              <w:top w:val="single" w:sz="6" w:space="0" w:color="0F2940"/>
              <w:left w:val="single" w:sz="6" w:space="0" w:color="0F2940"/>
              <w:bottom w:val="single" w:sz="6" w:space="0" w:color="0F2940"/>
              <w:right w:val="single" w:sz="6" w:space="0" w:color="0F2940"/>
            </w:tcBorders>
            <w:shd w:val="clear" w:color="auto" w:fill="0F2940"/>
            <w:tcMar>
              <w:top w:w="120" w:type="dxa"/>
              <w:left w:w="160" w:type="dxa"/>
              <w:bottom w:w="120" w:type="dxa"/>
              <w:right w:w="160" w:type="dxa"/>
            </w:tcMar>
          </w:tcPr>
          <w:p w14:paraId="6F61119B" w14:textId="77777777" w:rsidR="005A1071" w:rsidRDefault="005A1071" w:rsidP="00DC543A">
            <w:pPr>
              <w:rPr>
                <w:rFonts w:ascii="Arial" w:hAnsi="Arial" w:cs="Arial"/>
              </w:rPr>
            </w:pPr>
            <w:r>
              <w:rPr>
                <w:rFonts w:ascii="Arial" w:hAnsi="Arial" w:cs="Arial"/>
                <w:b/>
                <w:bCs/>
                <w:color w:val="FFFFFF"/>
              </w:rPr>
              <w:t>Worked example: Unauthorised AI Use</w:t>
            </w:r>
          </w:p>
        </w:tc>
      </w:tr>
      <w:tr w:rsidR="005A1071" w14:paraId="19476FB1" w14:textId="77777777" w:rsidTr="00DC543A">
        <w:tc>
          <w:tcPr>
            <w:tcW w:w="9500" w:type="dxa"/>
            <w:tcBorders>
              <w:top w:val="single" w:sz="6" w:space="0" w:color="0F2940"/>
              <w:left w:val="single" w:sz="6" w:space="0" w:color="0F2940"/>
              <w:bottom w:val="single" w:sz="6" w:space="0" w:color="0F2940"/>
              <w:right w:val="single" w:sz="6" w:space="0" w:color="0F2940"/>
            </w:tcBorders>
            <w:shd w:val="clear" w:color="auto" w:fill="E6E7F4" w:themeFill="accent5" w:themeFillTint="33"/>
            <w:tcMar>
              <w:top w:w="160" w:type="dxa"/>
              <w:left w:w="200" w:type="dxa"/>
              <w:bottom w:w="120" w:type="dxa"/>
              <w:right w:w="200" w:type="dxa"/>
            </w:tcMar>
          </w:tcPr>
          <w:p w14:paraId="231644DC" w14:textId="77777777" w:rsidR="005A1071" w:rsidRDefault="005A1071" w:rsidP="00DC543A">
            <w:pPr>
              <w:spacing w:after="100" w:line="280" w:lineRule="auto"/>
              <w:rPr>
                <w:rFonts w:ascii="Arial" w:hAnsi="Arial" w:cs="Arial"/>
                <w:szCs w:val="20"/>
              </w:rPr>
            </w:pPr>
            <w:r>
              <w:rPr>
                <w:rFonts w:ascii="Arial" w:hAnsi="Arial" w:cs="Arial"/>
                <w:szCs w:val="20"/>
              </w:rPr>
              <w:t>The following are examples of unauthorised use of AI:</w:t>
            </w:r>
          </w:p>
          <w:p w14:paraId="285C7162" w14:textId="77777777" w:rsidR="005A1071" w:rsidRDefault="005A1071" w:rsidP="00DC543A">
            <w:pPr>
              <w:pStyle w:val="ListParagraph"/>
              <w:numPr>
                <w:ilvl w:val="0"/>
                <w:numId w:val="14"/>
              </w:numPr>
              <w:tabs>
                <w:tab w:val="clear" w:pos="284"/>
                <w:tab w:val="clear" w:pos="567"/>
                <w:tab w:val="clear" w:pos="851"/>
              </w:tabs>
              <w:spacing w:after="100" w:line="280" w:lineRule="auto"/>
              <w:contextualSpacing w:val="0"/>
              <w:rPr>
                <w:rFonts w:ascii="Arial" w:hAnsi="Arial" w:cs="Arial"/>
                <w:szCs w:val="20"/>
              </w:rPr>
            </w:pPr>
            <w:r>
              <w:rPr>
                <w:rFonts w:ascii="Arial" w:hAnsi="Arial" w:cs="Arial"/>
                <w:szCs w:val="20"/>
              </w:rPr>
              <w:t>A nurse photographs a pathology result on their personal mobile device and uploads it to commercial chatbot to draft a patient letter.</w:t>
            </w:r>
          </w:p>
          <w:p w14:paraId="7D767EAF" w14:textId="77777777" w:rsidR="005A1071" w:rsidRDefault="005A1071" w:rsidP="00DC543A">
            <w:pPr>
              <w:pStyle w:val="ListParagraph"/>
              <w:numPr>
                <w:ilvl w:val="0"/>
                <w:numId w:val="14"/>
              </w:numPr>
              <w:tabs>
                <w:tab w:val="clear" w:pos="284"/>
                <w:tab w:val="clear" w:pos="567"/>
                <w:tab w:val="clear" w:pos="851"/>
              </w:tabs>
              <w:spacing w:after="100" w:line="280" w:lineRule="auto"/>
              <w:contextualSpacing w:val="0"/>
              <w:rPr>
                <w:rFonts w:ascii="Arial" w:hAnsi="Arial" w:cs="Arial"/>
                <w:szCs w:val="20"/>
              </w:rPr>
            </w:pPr>
            <w:r>
              <w:rPr>
                <w:rFonts w:ascii="Arial" w:hAnsi="Arial" w:cs="Arial"/>
                <w:szCs w:val="20"/>
              </w:rPr>
              <w:t>A receptionist uses a free transcription tool to summarise meeting minutes that include a patient's name, diagnosis and social history</w:t>
            </w:r>
          </w:p>
          <w:p w14:paraId="45E707B8" w14:textId="77777777" w:rsidR="005A1071" w:rsidRPr="00D854E0" w:rsidRDefault="005A1071" w:rsidP="00DC543A">
            <w:pPr>
              <w:pStyle w:val="ListParagraph"/>
              <w:numPr>
                <w:ilvl w:val="0"/>
                <w:numId w:val="14"/>
              </w:numPr>
              <w:tabs>
                <w:tab w:val="clear" w:pos="284"/>
                <w:tab w:val="clear" w:pos="567"/>
                <w:tab w:val="clear" w:pos="851"/>
              </w:tabs>
              <w:spacing w:after="100" w:line="280" w:lineRule="auto"/>
              <w:contextualSpacing w:val="0"/>
              <w:rPr>
                <w:rFonts w:ascii="Arial" w:hAnsi="Arial" w:cs="Arial"/>
                <w:szCs w:val="20"/>
              </w:rPr>
            </w:pPr>
            <w:r>
              <w:rPr>
                <w:rFonts w:ascii="Arial" w:hAnsi="Arial" w:cs="Arial"/>
                <w:szCs w:val="20"/>
              </w:rPr>
              <w:t>A doctor uses a personal scribe account during a consultation because the Organisation has not yet approved one.</w:t>
            </w:r>
          </w:p>
          <w:p w14:paraId="4B1FF955" w14:textId="77777777" w:rsidR="005A1071" w:rsidRDefault="005A1071" w:rsidP="00DC543A">
            <w:pPr>
              <w:spacing w:after="100" w:line="280" w:lineRule="auto"/>
              <w:rPr>
                <w:rFonts w:ascii="Arial" w:hAnsi="Arial" w:cs="Arial"/>
                <w:szCs w:val="20"/>
              </w:rPr>
            </w:pPr>
            <w:r w:rsidRPr="001465E6">
              <w:rPr>
                <w:rFonts w:ascii="Arial" w:hAnsi="Arial" w:cs="Arial"/>
                <w:b/>
                <w:bCs/>
                <w:color w:val="333C72" w:themeColor="accent5" w:themeShade="80"/>
                <w:szCs w:val="20"/>
              </w:rPr>
              <w:t xml:space="preserve">What's happening. </w:t>
            </w:r>
            <w:r>
              <w:rPr>
                <w:rFonts w:ascii="Arial" w:hAnsi="Arial" w:cs="Arial"/>
                <w:szCs w:val="20"/>
              </w:rPr>
              <w:t>Shadow AI: staff using AI tools the Organisation has not approved, often for seemingly legitimate reasons (saving time, working around slow systems), with patient or Organisation information involved.</w:t>
            </w:r>
          </w:p>
          <w:p w14:paraId="24AD0367" w14:textId="77777777" w:rsidR="005A1071" w:rsidRDefault="005A1071" w:rsidP="00DC543A">
            <w:pPr>
              <w:spacing w:after="100" w:line="280" w:lineRule="auto"/>
              <w:rPr>
                <w:rFonts w:ascii="Arial" w:hAnsi="Arial" w:cs="Arial"/>
                <w:szCs w:val="20"/>
              </w:rPr>
            </w:pPr>
            <w:r w:rsidRPr="001465E6">
              <w:rPr>
                <w:rFonts w:ascii="Arial" w:hAnsi="Arial" w:cs="Arial"/>
                <w:b/>
                <w:bCs/>
                <w:color w:val="333C72" w:themeColor="accent5" w:themeShade="80"/>
                <w:szCs w:val="20"/>
              </w:rPr>
              <w:lastRenderedPageBreak/>
              <w:t xml:space="preserve">Why it matters. </w:t>
            </w:r>
            <w:r>
              <w:rPr>
                <w:rFonts w:ascii="Arial" w:hAnsi="Arial" w:cs="Arial"/>
                <w:szCs w:val="20"/>
              </w:rPr>
              <w:t>The Organisation has no record of what data has left its control, where it went, or whether the vendor will retain it for training. Indigenous Data Sovereignty obligations cannot be met when the Organisation does not know what data exists outside its systems. Cultural safety cannot be assured when the output is shaped by tools that have never been assessed.</w:t>
            </w:r>
          </w:p>
          <w:p w14:paraId="1C6851E0" w14:textId="77777777" w:rsidR="005A1071" w:rsidRDefault="005A1071" w:rsidP="00DC543A">
            <w:pPr>
              <w:spacing w:after="100" w:line="280" w:lineRule="auto"/>
              <w:rPr>
                <w:rFonts w:ascii="Arial" w:hAnsi="Arial" w:cs="Arial"/>
                <w:szCs w:val="20"/>
              </w:rPr>
            </w:pPr>
            <w:r w:rsidRPr="001465E6">
              <w:rPr>
                <w:rFonts w:ascii="Arial" w:hAnsi="Arial" w:cs="Arial"/>
                <w:b/>
                <w:bCs/>
                <w:color w:val="333C72" w:themeColor="accent5" w:themeShade="80"/>
                <w:szCs w:val="20"/>
              </w:rPr>
              <w:t xml:space="preserve">What the Framework expects. </w:t>
            </w:r>
            <w:r>
              <w:rPr>
                <w:rFonts w:ascii="Arial" w:hAnsi="Arial" w:cs="Arial"/>
                <w:szCs w:val="20"/>
              </w:rPr>
              <w:t>The AI Tools Register lists every approved tool. Anything outside the register is not authorised. The Acceptable Use of AI Policy prohibits entering patient, community or Organisation information into any tool that is not on the register, including consumer LLMs and personal-account ambient scribes.</w:t>
            </w:r>
          </w:p>
          <w:p w14:paraId="6919AE7A" w14:textId="77777777" w:rsidR="005A1071" w:rsidRDefault="005A1071" w:rsidP="00DC543A">
            <w:pPr>
              <w:spacing w:after="100" w:line="280" w:lineRule="auto"/>
              <w:rPr>
                <w:rFonts w:ascii="Arial" w:hAnsi="Arial" w:cs="Arial"/>
                <w:szCs w:val="20"/>
              </w:rPr>
            </w:pPr>
            <w:r w:rsidRPr="001465E6">
              <w:rPr>
                <w:rFonts w:ascii="Arial" w:hAnsi="Arial" w:cs="Arial"/>
                <w:b/>
                <w:bCs/>
                <w:color w:val="333C72" w:themeColor="accent5" w:themeShade="80"/>
                <w:szCs w:val="20"/>
              </w:rPr>
              <w:t xml:space="preserve">What to do. </w:t>
            </w:r>
            <w:r>
              <w:rPr>
                <w:rFonts w:ascii="Arial" w:hAnsi="Arial" w:cs="Arial"/>
                <w:szCs w:val="20"/>
              </w:rPr>
              <w:t>Make the register easy to find. Make the prohibitions clear and concrete. Support staff to ask for tools they need rather than work around the system. Treat self-reported breaches as remediation moments, not punishment.</w:t>
            </w:r>
          </w:p>
        </w:tc>
      </w:tr>
    </w:tbl>
    <w:p w14:paraId="36759F38" w14:textId="77777777" w:rsidR="00A81117" w:rsidRDefault="00A81117" w:rsidP="00B013E1">
      <w:pPr>
        <w:sectPr w:rsidR="00A81117" w:rsidSect="00C648B0">
          <w:pgSz w:w="11900" w:h="16840"/>
          <w:pgMar w:top="1021" w:right="1134" w:bottom="1418" w:left="1134" w:header="567" w:footer="454" w:gutter="0"/>
          <w:cols w:space="708"/>
          <w:docGrid w:linePitch="360"/>
        </w:sectPr>
      </w:pPr>
    </w:p>
    <w:p w14:paraId="1B2B2764" w14:textId="77777777" w:rsidR="008B40F5" w:rsidRPr="001465E6" w:rsidRDefault="008B40F5" w:rsidP="008B40F5">
      <w:pPr>
        <w:pStyle w:val="Heading2"/>
        <w:spacing w:before="240" w:after="120"/>
        <w:rPr>
          <w:rFonts w:ascii="Arial" w:hAnsi="Arial" w:cs="Arial"/>
          <w:color w:val="001441" w:themeColor="text1"/>
        </w:rPr>
      </w:pPr>
      <w:bookmarkStart w:id="223" w:name="_Toc238474908"/>
      <w:bookmarkStart w:id="224" w:name="_Toc238475821"/>
      <w:bookmarkStart w:id="225" w:name="_Toc238562139"/>
      <w:bookmarkStart w:id="226" w:name="_Toc239257325"/>
      <w:bookmarkStart w:id="227" w:name="_Toc239257428"/>
      <w:bookmarkStart w:id="228" w:name="_Toc239257529"/>
      <w:bookmarkStart w:id="229" w:name="_Toc240894366"/>
      <w:bookmarkStart w:id="230" w:name="_Toc240897424"/>
      <w:bookmarkStart w:id="231" w:name="_Toc240897578"/>
      <w:bookmarkStart w:id="232" w:name="_Toc240956396"/>
      <w:r w:rsidRPr="001465E6">
        <w:rPr>
          <w:rFonts w:ascii="Arial" w:hAnsi="Arial" w:cs="Arial"/>
          <w:color w:val="001441" w:themeColor="text1"/>
        </w:rPr>
        <w:lastRenderedPageBreak/>
        <w:t>DOMAIN 6: People</w:t>
      </w:r>
      <w:bookmarkEnd w:id="223"/>
      <w:bookmarkEnd w:id="224"/>
      <w:bookmarkEnd w:id="225"/>
      <w:bookmarkEnd w:id="226"/>
      <w:bookmarkEnd w:id="227"/>
      <w:bookmarkEnd w:id="228"/>
      <w:bookmarkEnd w:id="229"/>
      <w:bookmarkEnd w:id="230"/>
      <w:bookmarkEnd w:id="231"/>
      <w:bookmarkEnd w:id="232"/>
    </w:p>
    <w:p w14:paraId="6192E032" w14:textId="77777777" w:rsidR="008B40F5" w:rsidRPr="000828BE" w:rsidRDefault="008B40F5" w:rsidP="008B40F5">
      <w:pPr>
        <w:spacing w:after="160"/>
        <w:rPr>
          <w:rFonts w:ascii="Arial" w:hAnsi="Arial" w:cs="Arial"/>
          <w:i/>
          <w:iCs/>
          <w:color w:val="002060"/>
        </w:rPr>
      </w:pPr>
      <w:r>
        <w:rPr>
          <w:rFonts w:ascii="Arial" w:hAnsi="Arial" w:cs="Arial"/>
          <w:i/>
          <w:iCs/>
          <w:color w:val="002060"/>
        </w:rPr>
        <w:t>Workforce training, capability, and oversight</w:t>
      </w:r>
    </w:p>
    <w:p w14:paraId="5AAFD932" w14:textId="77777777" w:rsidR="008B40F5" w:rsidRPr="006F75DC" w:rsidRDefault="008B40F5" w:rsidP="00870960">
      <w:pPr>
        <w:pStyle w:val="NACCHOtext"/>
      </w:pPr>
      <w:r>
        <w:t xml:space="preserve">The </w:t>
      </w:r>
      <w:r>
        <w:rPr>
          <w:b/>
          <w:bCs/>
        </w:rPr>
        <w:t>People</w:t>
      </w:r>
      <w:r>
        <w:t xml:space="preserve"> domain ensures that the ACCHO workforce, including clinical staff, allied health, administrative staff, and Board members, has the capability to use, oversee, and govern the AI tool appropriately.</w:t>
      </w:r>
    </w:p>
    <w:p w14:paraId="272C36BF" w14:textId="77777777" w:rsidR="008B40F5" w:rsidRPr="006F75DC" w:rsidRDefault="008B40F5" w:rsidP="008B40F5">
      <w:pPr>
        <w:pStyle w:val="Heading4"/>
        <w:spacing w:before="140"/>
        <w:rPr>
          <w:rFonts w:ascii="Arial" w:hAnsi="Arial" w:cs="Arial"/>
        </w:rPr>
      </w:pPr>
      <w:r>
        <w:rPr>
          <w:rFonts w:ascii="Arial" w:hAnsi="Arial" w:cs="Arial"/>
          <w:bCs/>
          <w:color w:val="0F2940"/>
          <w:szCs w:val="20"/>
        </w:rPr>
        <w:t>Key questions</w:t>
      </w:r>
    </w:p>
    <w:p w14:paraId="663D0039" w14:textId="77777777" w:rsidR="008B40F5" w:rsidRPr="00782C0F" w:rsidRDefault="008B40F5" w:rsidP="008B40F5">
      <w:pPr>
        <w:pStyle w:val="ListParagraph"/>
        <w:numPr>
          <w:ilvl w:val="0"/>
          <w:numId w:val="16"/>
        </w:numPr>
        <w:tabs>
          <w:tab w:val="clear" w:pos="284"/>
          <w:tab w:val="clear" w:pos="567"/>
          <w:tab w:val="clear" w:pos="851"/>
        </w:tabs>
        <w:spacing w:line="300" w:lineRule="auto"/>
        <w:contextualSpacing w:val="0"/>
        <w:rPr>
          <w:rFonts w:ascii="Arial" w:hAnsi="Arial" w:cs="Arial"/>
        </w:rPr>
      </w:pPr>
      <w:r>
        <w:rPr>
          <w:rFonts w:ascii="Arial" w:hAnsi="Arial" w:cs="Arial"/>
        </w:rPr>
        <w:t>How will the use of this tool promote Indigenous digital capability and literacy and what broader supports may be implemented (e.g. AI champions, community digital literacy promotion)?</w:t>
      </w:r>
    </w:p>
    <w:p w14:paraId="4D3E6572" w14:textId="77777777" w:rsidR="008B40F5" w:rsidRPr="006F75DC" w:rsidRDefault="008B40F5" w:rsidP="008B40F5">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Are clinical and non-clinical staff trained on what the tool does, its limitations, and when to override it?</w:t>
      </w:r>
    </w:p>
    <w:p w14:paraId="6DC69EFA" w14:textId="77777777" w:rsidR="008B40F5" w:rsidRPr="006F75DC" w:rsidRDefault="008B40F5" w:rsidP="008B40F5">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Do clinical and non-clinical staff understand Indigenous Data Sovereignty as it applies to this tool?</w:t>
      </w:r>
    </w:p>
    <w:p w14:paraId="77CDD17B" w14:textId="77777777" w:rsidR="008B40F5" w:rsidRPr="006F75DC" w:rsidRDefault="008B40F5" w:rsidP="008B40F5">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Is there a documented structural oversight mechanism (e.g. clinical advisory committee, AI governance group)?</w:t>
      </w:r>
    </w:p>
    <w:p w14:paraId="2DEA54D8" w14:textId="77777777" w:rsidR="008B40F5" w:rsidRPr="006F75DC" w:rsidRDefault="008B40F5" w:rsidP="008B40F5">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Is the Board sufficiently informed to discharge its governance accountability?</w:t>
      </w:r>
    </w:p>
    <w:p w14:paraId="11C5B15F" w14:textId="77777777" w:rsidR="008B40F5" w:rsidRPr="006F75DC" w:rsidRDefault="008B40F5" w:rsidP="008B40F5">
      <w:pPr>
        <w:pStyle w:val="ListParagraph"/>
        <w:numPr>
          <w:ilvl w:val="0"/>
          <w:numId w:val="16"/>
        </w:numPr>
        <w:tabs>
          <w:tab w:val="clear" w:pos="284"/>
          <w:tab w:val="clear" w:pos="567"/>
          <w:tab w:val="clear" w:pos="851"/>
        </w:tabs>
        <w:spacing w:after="80" w:line="300" w:lineRule="auto"/>
        <w:contextualSpacing w:val="0"/>
        <w:rPr>
          <w:rFonts w:ascii="Arial" w:hAnsi="Arial" w:cs="Arial"/>
        </w:rPr>
      </w:pPr>
      <w:r>
        <w:rPr>
          <w:rFonts w:ascii="Arial" w:hAnsi="Arial" w:cs="Arial"/>
        </w:rPr>
        <w:t>Is there a process for staff to raise concerns about the tool, or the way it is being used, without professional risk?</w:t>
      </w:r>
    </w:p>
    <w:tbl>
      <w:tblPr>
        <w:tblStyle w:val="TableGrid"/>
        <w:tblW w:w="0" w:type="auto"/>
        <w:tblLook w:val="04A0" w:firstRow="1" w:lastRow="0" w:firstColumn="1" w:lastColumn="0" w:noHBand="0" w:noVBand="1"/>
      </w:tblPr>
      <w:tblGrid>
        <w:gridCol w:w="9016"/>
      </w:tblGrid>
      <w:tr w:rsidR="008B40F5" w:rsidRPr="00C50F87" w14:paraId="6BE455DD" w14:textId="77777777" w:rsidTr="00DC543A">
        <w:tc>
          <w:tcPr>
            <w:cnfStyle w:val="001000000000" w:firstRow="0" w:lastRow="0" w:firstColumn="1" w:lastColumn="0" w:oddVBand="0" w:evenVBand="0" w:oddHBand="0" w:evenHBand="0" w:firstRowFirstColumn="0" w:firstRowLastColumn="0" w:lastRowFirstColumn="0" w:lastRowLastColumn="0"/>
            <w:tcW w:w="9016" w:type="dxa"/>
            <w:shd w:val="clear" w:color="auto" w:fill="002060"/>
          </w:tcPr>
          <w:p w14:paraId="68324740" w14:textId="77777777" w:rsidR="008B40F5" w:rsidRPr="00C50F87" w:rsidRDefault="008B40F5" w:rsidP="00DC543A">
            <w:pPr>
              <w:pStyle w:val="Heading4"/>
              <w:spacing w:before="140"/>
              <w:rPr>
                <w:rFonts w:ascii="Arial" w:hAnsi="Arial" w:cs="Arial"/>
                <w:i/>
                <w:iCs w:val="0"/>
                <w:color w:val="FFFFFF" w:themeColor="background1"/>
                <w:sz w:val="24"/>
              </w:rPr>
            </w:pPr>
            <w:r>
              <w:rPr>
                <w:rFonts w:ascii="Arial" w:hAnsi="Arial" w:cs="Arial"/>
                <w:bCs/>
                <w:iCs w:val="0"/>
                <w:color w:val="FFFFFF" w:themeColor="background1"/>
              </w:rPr>
              <w:t>Foundational principles: how they apply in this domain</w:t>
            </w:r>
          </w:p>
        </w:tc>
      </w:tr>
      <w:tr w:rsidR="008B40F5" w:rsidRPr="00C50F87" w14:paraId="032C0079" w14:textId="77777777" w:rsidTr="00DC543A">
        <w:tc>
          <w:tcPr>
            <w:cnfStyle w:val="001000000000" w:firstRow="0" w:lastRow="0" w:firstColumn="1" w:lastColumn="0" w:oddVBand="0" w:evenVBand="0" w:oddHBand="0" w:evenHBand="0" w:firstRowFirstColumn="0" w:firstRowLastColumn="0" w:lastRowFirstColumn="0" w:lastRowLastColumn="0"/>
            <w:tcW w:w="9016" w:type="dxa"/>
          </w:tcPr>
          <w:p w14:paraId="31BEE38A" w14:textId="77777777" w:rsidR="008B40F5" w:rsidRPr="00C50F87" w:rsidRDefault="008B40F5" w:rsidP="00DC543A">
            <w:pPr>
              <w:spacing w:before="120" w:line="300" w:lineRule="auto"/>
              <w:rPr>
                <w:rFonts w:ascii="Arial" w:hAnsi="Arial" w:cs="Arial"/>
              </w:rPr>
            </w:pPr>
            <w:r>
              <w:rPr>
                <w:rFonts w:ascii="Arial" w:hAnsi="Arial" w:cs="Arial"/>
                <w:i/>
                <w:iCs/>
                <w:color w:val="6B7280"/>
              </w:rPr>
              <w:t>Cultural Safety in workforce training requires that training is led by, or co-designed with, Aboriginal and Torres Strait Islander health professionals. Community Authority requires that workforce decisions about the tool's use reflect community priorities.</w:t>
            </w:r>
          </w:p>
        </w:tc>
      </w:tr>
    </w:tbl>
    <w:p w14:paraId="68B7EB25" w14:textId="77777777" w:rsidR="005A1071" w:rsidRDefault="005A1071" w:rsidP="00B013E1"/>
    <w:p w14:paraId="7BBE23A7" w14:textId="77777777" w:rsidR="00F20A54" w:rsidRPr="000D2035" w:rsidRDefault="00F20A54" w:rsidP="00F20A54">
      <w:pPr>
        <w:pStyle w:val="Heading1"/>
        <w:spacing w:after="120"/>
        <w:rPr>
          <w:rFonts w:ascii="Arial" w:hAnsi="Arial" w:cs="Arial"/>
          <w:color w:val="002060"/>
        </w:rPr>
      </w:pPr>
      <w:bookmarkStart w:id="233" w:name="_Toc238474913"/>
      <w:bookmarkStart w:id="234" w:name="_Toc238475826"/>
      <w:bookmarkStart w:id="235" w:name="_Toc238562144"/>
      <w:bookmarkStart w:id="236" w:name="_Toc239257327"/>
      <w:bookmarkStart w:id="237" w:name="_Toc239257430"/>
      <w:bookmarkStart w:id="238" w:name="_Toc239257531"/>
      <w:bookmarkStart w:id="239" w:name="_Toc240894368"/>
      <w:bookmarkStart w:id="240" w:name="_Toc240897579"/>
      <w:bookmarkStart w:id="241" w:name="_Toc240956397"/>
      <w:bookmarkStart w:id="242" w:name="_Toc240956436"/>
      <w:bookmarkStart w:id="243" w:name="_Toc240960034"/>
      <w:r>
        <w:rPr>
          <w:rFonts w:ascii="Arial" w:hAnsi="Arial" w:cs="Arial"/>
          <w:color w:val="002060"/>
        </w:rPr>
        <w:lastRenderedPageBreak/>
        <w:t>Appendix 1 – Risk matrices</w:t>
      </w:r>
      <w:bookmarkEnd w:id="233"/>
      <w:bookmarkEnd w:id="234"/>
      <w:bookmarkEnd w:id="235"/>
      <w:bookmarkEnd w:id="236"/>
      <w:bookmarkEnd w:id="237"/>
      <w:bookmarkEnd w:id="238"/>
      <w:bookmarkEnd w:id="239"/>
      <w:bookmarkEnd w:id="240"/>
      <w:bookmarkEnd w:id="241"/>
      <w:bookmarkEnd w:id="242"/>
      <w:bookmarkEnd w:id="243"/>
      <w:r>
        <w:rPr>
          <w:rFonts w:ascii="Arial" w:hAnsi="Arial" w:cs="Arial"/>
          <w:color w:val="002060"/>
        </w:rPr>
        <w:t xml:space="preserve"> </w:t>
      </w:r>
    </w:p>
    <w:p w14:paraId="486ABC99" w14:textId="77777777" w:rsidR="00F20A54" w:rsidRPr="000D2035" w:rsidRDefault="00F20A54" w:rsidP="00F20A54">
      <w:pPr>
        <w:spacing w:before="240"/>
        <w:rPr>
          <w:rFonts w:ascii="Arial" w:hAnsi="Arial" w:cs="Arial"/>
        </w:rPr>
      </w:pPr>
      <w:r>
        <w:rPr>
          <w:rFonts w:ascii="Arial" w:hAnsi="Arial" w:cs="Arial"/>
          <w:color w:val="002060"/>
        </w:rPr>
        <w:t>Matrix 1: Tool risk classification</w:t>
      </w:r>
    </w:p>
    <w:p w14:paraId="41D20808" w14:textId="77777777" w:rsidR="00F20A54" w:rsidRPr="00E70260" w:rsidRDefault="00F20A54" w:rsidP="00F20A54">
      <w:pPr>
        <w:spacing w:after="140" w:line="300" w:lineRule="auto"/>
        <w:rPr>
          <w:rFonts w:ascii="Arial" w:hAnsi="Arial" w:cs="Arial"/>
        </w:rPr>
      </w:pPr>
      <w:r>
        <w:rPr>
          <w:rFonts w:ascii="Arial" w:hAnsi="Arial" w:cs="Arial"/>
          <w:color w:val="212121"/>
        </w:rPr>
        <w:t>The governance tier is set by two dimensions: how much influence the tool has over care, and what data and Community obligations it engages. The tier determines who approves the tool, what assessments are required, and how often it is reviewed. Where a tool sits on the boundary of two tiers, the higher tier applies.</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60"/>
        <w:gridCol w:w="2052"/>
        <w:gridCol w:w="2052"/>
        <w:gridCol w:w="2052"/>
      </w:tblGrid>
      <w:tr w:rsidR="00F20A54" w:rsidRPr="00E70260" w14:paraId="35CB8636" w14:textId="77777777" w:rsidTr="00DC543A">
        <w:tc>
          <w:tcPr>
            <w:tcW w:w="2860" w:type="dxa"/>
            <w:tcBorders>
              <w:top w:val="single" w:sz="4" w:space="0" w:color="CFD3DB"/>
              <w:left w:val="single" w:sz="4" w:space="0" w:color="CFD3DB"/>
              <w:bottom w:val="single" w:sz="4" w:space="0" w:color="CFD3DB"/>
              <w:right w:val="single" w:sz="4" w:space="0" w:color="CFD3DB"/>
            </w:tcBorders>
            <w:shd w:val="clear" w:color="auto" w:fill="002060"/>
            <w:tcMar>
              <w:top w:w="80" w:type="dxa"/>
              <w:left w:w="120" w:type="dxa"/>
              <w:bottom w:w="80" w:type="dxa"/>
              <w:right w:w="120" w:type="dxa"/>
            </w:tcMar>
            <w:vAlign w:val="center"/>
          </w:tcPr>
          <w:p w14:paraId="318AFB91" w14:textId="77777777" w:rsidR="00F20A54" w:rsidRPr="00E70260" w:rsidRDefault="00F20A54" w:rsidP="00DC543A">
            <w:pPr>
              <w:rPr>
                <w:rFonts w:ascii="Arial" w:hAnsi="Arial" w:cs="Arial"/>
              </w:rPr>
            </w:pPr>
            <w:r>
              <w:rPr>
                <w:rFonts w:ascii="Arial" w:hAnsi="Arial" w:cs="Arial"/>
                <w:b/>
                <w:bCs/>
                <w:color w:val="FFFFFF"/>
              </w:rPr>
              <w:t>Clinical influence of the tool</w:t>
            </w:r>
          </w:p>
        </w:tc>
        <w:tc>
          <w:tcPr>
            <w:tcW w:w="2052" w:type="dxa"/>
            <w:tcBorders>
              <w:top w:val="single" w:sz="4" w:space="0" w:color="CFD3DB"/>
              <w:left w:val="single" w:sz="4" w:space="0" w:color="CFD3DB"/>
              <w:bottom w:val="single" w:sz="4" w:space="0" w:color="CFD3DB"/>
              <w:right w:val="single" w:sz="4" w:space="0" w:color="CFD3DB"/>
            </w:tcBorders>
            <w:shd w:val="clear" w:color="auto" w:fill="002060"/>
            <w:tcMar>
              <w:top w:w="80" w:type="dxa"/>
              <w:left w:w="120" w:type="dxa"/>
              <w:bottom w:w="80" w:type="dxa"/>
              <w:right w:w="120" w:type="dxa"/>
            </w:tcMar>
            <w:vAlign w:val="center"/>
          </w:tcPr>
          <w:p w14:paraId="3BE1A94A" w14:textId="77777777" w:rsidR="00F20A54" w:rsidRPr="00E70260" w:rsidRDefault="00F20A54" w:rsidP="00DC543A">
            <w:pPr>
              <w:jc w:val="center"/>
              <w:rPr>
                <w:rFonts w:ascii="Arial" w:hAnsi="Arial" w:cs="Arial"/>
              </w:rPr>
            </w:pPr>
            <w:r>
              <w:rPr>
                <w:rFonts w:ascii="Arial" w:hAnsi="Arial" w:cs="Arial"/>
                <w:b/>
                <w:bCs/>
                <w:color w:val="FFFFFF"/>
              </w:rPr>
              <w:t>No patient or</w:t>
            </w:r>
            <w:r>
              <w:rPr>
                <w:rFonts w:ascii="Arial" w:hAnsi="Arial" w:cs="Arial"/>
                <w:color w:val="FFFFFF"/>
              </w:rPr>
              <w:br/>
              <w:t>community data</w:t>
            </w:r>
          </w:p>
        </w:tc>
        <w:tc>
          <w:tcPr>
            <w:tcW w:w="2052" w:type="dxa"/>
            <w:tcBorders>
              <w:top w:val="single" w:sz="4" w:space="0" w:color="CFD3DB"/>
              <w:left w:val="single" w:sz="4" w:space="0" w:color="CFD3DB"/>
              <w:bottom w:val="single" w:sz="4" w:space="0" w:color="CFD3DB"/>
              <w:right w:val="single" w:sz="4" w:space="0" w:color="CFD3DB"/>
            </w:tcBorders>
            <w:shd w:val="clear" w:color="auto" w:fill="002060"/>
            <w:tcMar>
              <w:top w:w="80" w:type="dxa"/>
              <w:left w:w="120" w:type="dxa"/>
              <w:bottom w:w="80" w:type="dxa"/>
              <w:right w:w="120" w:type="dxa"/>
            </w:tcMar>
            <w:vAlign w:val="center"/>
          </w:tcPr>
          <w:p w14:paraId="5B285DE3" w14:textId="77777777" w:rsidR="00F20A54" w:rsidRPr="00E70260" w:rsidRDefault="00F20A54" w:rsidP="00DC543A">
            <w:pPr>
              <w:jc w:val="center"/>
              <w:rPr>
                <w:rFonts w:ascii="Arial" w:hAnsi="Arial" w:cs="Arial"/>
              </w:rPr>
            </w:pPr>
            <w:r>
              <w:rPr>
                <w:rFonts w:ascii="Arial" w:hAnsi="Arial" w:cs="Arial"/>
                <w:b/>
                <w:bCs/>
                <w:color w:val="FFFFFF"/>
              </w:rPr>
              <w:t>Identifiable</w:t>
            </w:r>
            <w:r>
              <w:rPr>
                <w:rFonts w:ascii="Arial" w:hAnsi="Arial" w:cs="Arial"/>
                <w:color w:val="FFFFFF"/>
              </w:rPr>
              <w:br/>
              <w:t>patient data</w:t>
            </w:r>
          </w:p>
        </w:tc>
        <w:tc>
          <w:tcPr>
            <w:tcW w:w="2052" w:type="dxa"/>
            <w:tcBorders>
              <w:top w:val="single" w:sz="4" w:space="0" w:color="CFD3DB"/>
              <w:left w:val="single" w:sz="4" w:space="0" w:color="CFD3DB"/>
              <w:bottom w:val="single" w:sz="4" w:space="0" w:color="CFD3DB"/>
              <w:right w:val="single" w:sz="4" w:space="0" w:color="CFD3DB"/>
            </w:tcBorders>
            <w:shd w:val="clear" w:color="auto" w:fill="002060"/>
            <w:tcMar>
              <w:top w:w="80" w:type="dxa"/>
              <w:left w:w="120" w:type="dxa"/>
              <w:bottom w:w="80" w:type="dxa"/>
              <w:right w:w="120" w:type="dxa"/>
            </w:tcMar>
            <w:vAlign w:val="center"/>
          </w:tcPr>
          <w:p w14:paraId="36A6BDC9" w14:textId="77777777" w:rsidR="00F20A54" w:rsidRPr="00E70260" w:rsidRDefault="00F20A54" w:rsidP="00DC543A">
            <w:pPr>
              <w:jc w:val="center"/>
              <w:rPr>
                <w:rFonts w:ascii="Arial" w:hAnsi="Arial" w:cs="Arial"/>
              </w:rPr>
            </w:pPr>
            <w:r>
              <w:rPr>
                <w:rFonts w:ascii="Arial" w:hAnsi="Arial" w:cs="Arial"/>
                <w:b/>
                <w:bCs/>
                <w:color w:val="FFFFFF"/>
              </w:rPr>
              <w:t>Data engaging IDS or</w:t>
            </w:r>
            <w:r>
              <w:rPr>
                <w:rFonts w:ascii="Arial" w:hAnsi="Arial" w:cs="Arial"/>
                <w:color w:val="FFFFFF"/>
              </w:rPr>
              <w:br/>
              <w:t>community obligations</w:t>
            </w:r>
          </w:p>
        </w:tc>
      </w:tr>
      <w:tr w:rsidR="00F20A54" w:rsidRPr="00E70260" w14:paraId="39DFED5A" w14:textId="77777777" w:rsidTr="00DC543A">
        <w:tc>
          <w:tcPr>
            <w:tcW w:w="2860"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5BE89650" w14:textId="77777777" w:rsidR="00F20A54" w:rsidRPr="00E70260" w:rsidRDefault="00F20A54" w:rsidP="00DC543A">
            <w:pPr>
              <w:rPr>
                <w:rFonts w:ascii="Arial" w:hAnsi="Arial" w:cs="Arial"/>
              </w:rPr>
            </w:pPr>
            <w:r>
              <w:rPr>
                <w:rFonts w:ascii="Arial" w:hAnsi="Arial" w:cs="Arial"/>
                <w:b/>
                <w:bCs/>
                <w:color w:val="212121"/>
              </w:rPr>
              <w:t>Administrative automation</w:t>
            </w:r>
            <w:r>
              <w:rPr>
                <w:rFonts w:ascii="Arial" w:hAnsi="Arial" w:cs="Arial"/>
                <w:color w:val="212121"/>
              </w:rPr>
              <w:br/>
              <w:t>Bookings, recalls, correspondence</w:t>
            </w:r>
          </w:p>
        </w:tc>
        <w:tc>
          <w:tcPr>
            <w:tcW w:w="2052" w:type="dxa"/>
            <w:tcBorders>
              <w:top w:val="single" w:sz="4" w:space="0" w:color="CFD3DB"/>
              <w:left w:val="single" w:sz="4" w:space="0" w:color="CFD3DB"/>
              <w:bottom w:val="single" w:sz="4" w:space="0" w:color="CFD3DB"/>
              <w:right w:val="single" w:sz="4" w:space="0" w:color="CFD3DB"/>
            </w:tcBorders>
            <w:shd w:val="clear" w:color="auto" w:fill="EAF3DE"/>
            <w:tcMar>
              <w:top w:w="80" w:type="dxa"/>
              <w:left w:w="120" w:type="dxa"/>
              <w:bottom w:w="80" w:type="dxa"/>
              <w:right w:w="120" w:type="dxa"/>
            </w:tcMar>
            <w:vAlign w:val="center"/>
          </w:tcPr>
          <w:p w14:paraId="04DB6CF5" w14:textId="77777777" w:rsidR="00F20A54" w:rsidRPr="00E70260" w:rsidRDefault="00F20A54" w:rsidP="00DC543A">
            <w:pPr>
              <w:jc w:val="center"/>
              <w:rPr>
                <w:rFonts w:ascii="Arial" w:hAnsi="Arial" w:cs="Arial"/>
              </w:rPr>
            </w:pPr>
            <w:r>
              <w:rPr>
                <w:rFonts w:ascii="Arial" w:hAnsi="Arial" w:cs="Arial"/>
                <w:b/>
                <w:bCs/>
                <w:color w:val="27500A"/>
              </w:rPr>
              <w:t>Low</w:t>
            </w:r>
          </w:p>
        </w:tc>
        <w:tc>
          <w:tcPr>
            <w:tcW w:w="2052" w:type="dxa"/>
            <w:tcBorders>
              <w:top w:val="single" w:sz="4" w:space="0" w:color="CFD3DB"/>
              <w:left w:val="single" w:sz="4" w:space="0" w:color="CFD3DB"/>
              <w:bottom w:val="single" w:sz="4" w:space="0" w:color="CFD3DB"/>
              <w:right w:val="single" w:sz="4" w:space="0" w:color="CFD3DB"/>
            </w:tcBorders>
            <w:shd w:val="clear" w:color="auto" w:fill="FAEEDA"/>
            <w:tcMar>
              <w:top w:w="80" w:type="dxa"/>
              <w:left w:w="120" w:type="dxa"/>
              <w:bottom w:w="80" w:type="dxa"/>
              <w:right w:w="120" w:type="dxa"/>
            </w:tcMar>
            <w:vAlign w:val="center"/>
          </w:tcPr>
          <w:p w14:paraId="70EFAA13" w14:textId="77777777" w:rsidR="00F20A54" w:rsidRPr="00E70260" w:rsidRDefault="00F20A54" w:rsidP="00DC543A">
            <w:pPr>
              <w:jc w:val="center"/>
              <w:rPr>
                <w:rFonts w:ascii="Arial" w:hAnsi="Arial" w:cs="Arial"/>
              </w:rPr>
            </w:pPr>
            <w:r>
              <w:rPr>
                <w:rFonts w:ascii="Arial" w:hAnsi="Arial" w:cs="Arial"/>
                <w:b/>
                <w:bCs/>
                <w:color w:val="633806"/>
              </w:rPr>
              <w:t>Medium</w:t>
            </w:r>
          </w:p>
        </w:tc>
        <w:tc>
          <w:tcPr>
            <w:tcW w:w="2052" w:type="dxa"/>
            <w:tcBorders>
              <w:top w:val="single" w:sz="4" w:space="0" w:color="CFD3DB"/>
              <w:left w:val="single" w:sz="4" w:space="0" w:color="CFD3DB"/>
              <w:bottom w:val="single" w:sz="4" w:space="0" w:color="CFD3DB"/>
              <w:right w:val="single" w:sz="4" w:space="0" w:color="CFD3DB"/>
            </w:tcBorders>
            <w:shd w:val="clear" w:color="auto" w:fill="F5C4B3"/>
            <w:tcMar>
              <w:top w:w="80" w:type="dxa"/>
              <w:left w:w="120" w:type="dxa"/>
              <w:bottom w:w="80" w:type="dxa"/>
              <w:right w:w="120" w:type="dxa"/>
            </w:tcMar>
            <w:vAlign w:val="center"/>
          </w:tcPr>
          <w:p w14:paraId="355C8826" w14:textId="77777777" w:rsidR="00F20A54" w:rsidRPr="00E70260" w:rsidRDefault="00F20A54" w:rsidP="00DC543A">
            <w:pPr>
              <w:jc w:val="center"/>
              <w:rPr>
                <w:rFonts w:ascii="Arial" w:hAnsi="Arial" w:cs="Arial"/>
              </w:rPr>
            </w:pPr>
            <w:r>
              <w:rPr>
                <w:rFonts w:ascii="Arial" w:hAnsi="Arial" w:cs="Arial"/>
                <w:b/>
                <w:bCs/>
                <w:color w:val="4A1B0C"/>
              </w:rPr>
              <w:t>High</w:t>
            </w:r>
          </w:p>
        </w:tc>
      </w:tr>
      <w:tr w:rsidR="00F20A54" w:rsidRPr="00E70260" w14:paraId="2635BC9F" w14:textId="77777777" w:rsidTr="00DC543A">
        <w:tc>
          <w:tcPr>
            <w:tcW w:w="2860"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5EA15D7A" w14:textId="77777777" w:rsidR="00F20A54" w:rsidRPr="00E70260" w:rsidRDefault="00F20A54" w:rsidP="00DC543A">
            <w:pPr>
              <w:rPr>
                <w:rFonts w:ascii="Arial" w:hAnsi="Arial" w:cs="Arial"/>
              </w:rPr>
            </w:pPr>
            <w:r>
              <w:rPr>
                <w:rFonts w:ascii="Arial" w:hAnsi="Arial" w:cs="Arial"/>
                <w:b/>
                <w:bCs/>
                <w:color w:val="212121"/>
              </w:rPr>
              <w:t>Clinical documentation</w:t>
            </w:r>
            <w:r>
              <w:rPr>
                <w:rFonts w:ascii="Arial" w:hAnsi="Arial" w:cs="Arial"/>
                <w:color w:val="212121"/>
              </w:rPr>
              <w:br/>
              <w:t>Ambient scribes, summaries entering the record</w:t>
            </w:r>
          </w:p>
        </w:tc>
        <w:tc>
          <w:tcPr>
            <w:tcW w:w="2052" w:type="dxa"/>
            <w:tcBorders>
              <w:top w:val="single" w:sz="4" w:space="0" w:color="CFD3DB"/>
              <w:left w:val="single" w:sz="4" w:space="0" w:color="CFD3DB"/>
              <w:bottom w:val="single" w:sz="4" w:space="0" w:color="CFD3DB"/>
              <w:right w:val="single" w:sz="4" w:space="0" w:color="CFD3DB"/>
            </w:tcBorders>
            <w:shd w:val="clear" w:color="auto" w:fill="EAF3DE"/>
            <w:tcMar>
              <w:top w:w="80" w:type="dxa"/>
              <w:left w:w="120" w:type="dxa"/>
              <w:bottom w:w="80" w:type="dxa"/>
              <w:right w:w="120" w:type="dxa"/>
            </w:tcMar>
            <w:vAlign w:val="center"/>
          </w:tcPr>
          <w:p w14:paraId="6F8BEB9B" w14:textId="77777777" w:rsidR="00F20A54" w:rsidRPr="00E70260" w:rsidRDefault="00F20A54" w:rsidP="00DC543A">
            <w:pPr>
              <w:jc w:val="center"/>
              <w:rPr>
                <w:rFonts w:ascii="Arial" w:hAnsi="Arial" w:cs="Arial"/>
              </w:rPr>
            </w:pPr>
            <w:r>
              <w:rPr>
                <w:rFonts w:ascii="Arial" w:hAnsi="Arial" w:cs="Arial"/>
                <w:b/>
                <w:bCs/>
                <w:color w:val="27500A"/>
              </w:rPr>
              <w:t>Low</w:t>
            </w:r>
          </w:p>
        </w:tc>
        <w:tc>
          <w:tcPr>
            <w:tcW w:w="2052" w:type="dxa"/>
            <w:tcBorders>
              <w:top w:val="single" w:sz="4" w:space="0" w:color="CFD3DB"/>
              <w:left w:val="single" w:sz="4" w:space="0" w:color="CFD3DB"/>
              <w:bottom w:val="single" w:sz="4" w:space="0" w:color="CFD3DB"/>
              <w:right w:val="single" w:sz="4" w:space="0" w:color="CFD3DB"/>
            </w:tcBorders>
            <w:shd w:val="clear" w:color="auto" w:fill="FAEEDA"/>
            <w:tcMar>
              <w:top w:w="80" w:type="dxa"/>
              <w:left w:w="120" w:type="dxa"/>
              <w:bottom w:w="80" w:type="dxa"/>
              <w:right w:w="120" w:type="dxa"/>
            </w:tcMar>
            <w:vAlign w:val="center"/>
          </w:tcPr>
          <w:p w14:paraId="65DA94CA" w14:textId="77777777" w:rsidR="00F20A54" w:rsidRPr="00E70260" w:rsidRDefault="00F20A54" w:rsidP="00DC543A">
            <w:pPr>
              <w:jc w:val="center"/>
              <w:rPr>
                <w:rFonts w:ascii="Arial" w:hAnsi="Arial" w:cs="Arial"/>
              </w:rPr>
            </w:pPr>
            <w:r>
              <w:rPr>
                <w:rFonts w:ascii="Arial" w:hAnsi="Arial" w:cs="Arial"/>
                <w:b/>
                <w:bCs/>
                <w:color w:val="633806"/>
              </w:rPr>
              <w:t>Medium</w:t>
            </w:r>
          </w:p>
        </w:tc>
        <w:tc>
          <w:tcPr>
            <w:tcW w:w="2052" w:type="dxa"/>
            <w:tcBorders>
              <w:top w:val="single" w:sz="4" w:space="0" w:color="CFD3DB"/>
              <w:left w:val="single" w:sz="4" w:space="0" w:color="CFD3DB"/>
              <w:bottom w:val="single" w:sz="4" w:space="0" w:color="CFD3DB"/>
              <w:right w:val="single" w:sz="4" w:space="0" w:color="CFD3DB"/>
            </w:tcBorders>
            <w:shd w:val="clear" w:color="auto" w:fill="F5C4B3"/>
            <w:tcMar>
              <w:top w:w="80" w:type="dxa"/>
              <w:left w:w="120" w:type="dxa"/>
              <w:bottom w:w="80" w:type="dxa"/>
              <w:right w:w="120" w:type="dxa"/>
            </w:tcMar>
            <w:vAlign w:val="center"/>
          </w:tcPr>
          <w:p w14:paraId="0D8AF06A" w14:textId="77777777" w:rsidR="00F20A54" w:rsidRPr="00E70260" w:rsidRDefault="00F20A54" w:rsidP="00DC543A">
            <w:pPr>
              <w:jc w:val="center"/>
              <w:rPr>
                <w:rFonts w:ascii="Arial" w:hAnsi="Arial" w:cs="Arial"/>
              </w:rPr>
            </w:pPr>
            <w:r>
              <w:rPr>
                <w:rFonts w:ascii="Arial" w:hAnsi="Arial" w:cs="Arial"/>
                <w:b/>
                <w:bCs/>
                <w:color w:val="4A1B0C"/>
              </w:rPr>
              <w:t>High</w:t>
            </w:r>
          </w:p>
        </w:tc>
      </w:tr>
      <w:tr w:rsidR="00F20A54" w:rsidRPr="00E70260" w14:paraId="6DE2A425" w14:textId="77777777" w:rsidTr="00DC543A">
        <w:tc>
          <w:tcPr>
            <w:tcW w:w="2860"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7691D662" w14:textId="77777777" w:rsidR="00F20A54" w:rsidRPr="00E70260" w:rsidRDefault="00F20A54" w:rsidP="00DC543A">
            <w:pPr>
              <w:rPr>
                <w:rFonts w:ascii="Arial" w:hAnsi="Arial" w:cs="Arial"/>
              </w:rPr>
            </w:pPr>
            <w:r>
              <w:rPr>
                <w:rFonts w:ascii="Arial" w:hAnsi="Arial" w:cs="Arial"/>
                <w:b/>
                <w:bCs/>
                <w:color w:val="212121"/>
              </w:rPr>
              <w:t>Clinical decision support</w:t>
            </w:r>
            <w:r>
              <w:rPr>
                <w:rFonts w:ascii="Arial" w:hAnsi="Arial" w:cs="Arial"/>
                <w:color w:val="212121"/>
              </w:rPr>
              <w:br/>
              <w:t>Triage, prompts, recommendations</w:t>
            </w:r>
          </w:p>
        </w:tc>
        <w:tc>
          <w:tcPr>
            <w:tcW w:w="2052" w:type="dxa"/>
            <w:tcBorders>
              <w:top w:val="single" w:sz="4" w:space="0" w:color="CFD3DB"/>
              <w:left w:val="single" w:sz="4" w:space="0" w:color="CFD3DB"/>
              <w:bottom w:val="single" w:sz="4" w:space="0" w:color="CFD3DB"/>
              <w:right w:val="single" w:sz="4" w:space="0" w:color="CFD3DB"/>
            </w:tcBorders>
            <w:shd w:val="clear" w:color="auto" w:fill="FAEEDA"/>
            <w:tcMar>
              <w:top w:w="80" w:type="dxa"/>
              <w:left w:w="120" w:type="dxa"/>
              <w:bottom w:w="80" w:type="dxa"/>
              <w:right w:w="120" w:type="dxa"/>
            </w:tcMar>
            <w:vAlign w:val="center"/>
          </w:tcPr>
          <w:p w14:paraId="53DA5766" w14:textId="77777777" w:rsidR="00F20A54" w:rsidRPr="00E70260" w:rsidRDefault="00F20A54" w:rsidP="00DC543A">
            <w:pPr>
              <w:jc w:val="center"/>
              <w:rPr>
                <w:rFonts w:ascii="Arial" w:hAnsi="Arial" w:cs="Arial"/>
              </w:rPr>
            </w:pPr>
            <w:r>
              <w:rPr>
                <w:rFonts w:ascii="Arial" w:hAnsi="Arial" w:cs="Arial"/>
                <w:b/>
                <w:bCs/>
                <w:color w:val="633806"/>
              </w:rPr>
              <w:t>Medium</w:t>
            </w:r>
          </w:p>
        </w:tc>
        <w:tc>
          <w:tcPr>
            <w:tcW w:w="2052" w:type="dxa"/>
            <w:tcBorders>
              <w:top w:val="single" w:sz="4" w:space="0" w:color="CFD3DB"/>
              <w:left w:val="single" w:sz="4" w:space="0" w:color="CFD3DB"/>
              <w:bottom w:val="single" w:sz="4" w:space="0" w:color="CFD3DB"/>
              <w:right w:val="single" w:sz="4" w:space="0" w:color="CFD3DB"/>
            </w:tcBorders>
            <w:shd w:val="clear" w:color="auto" w:fill="F5C4B3"/>
            <w:tcMar>
              <w:top w:w="80" w:type="dxa"/>
              <w:left w:w="120" w:type="dxa"/>
              <w:bottom w:w="80" w:type="dxa"/>
              <w:right w:w="120" w:type="dxa"/>
            </w:tcMar>
            <w:vAlign w:val="center"/>
          </w:tcPr>
          <w:p w14:paraId="7A57D02C" w14:textId="77777777" w:rsidR="00F20A54" w:rsidRPr="00E70260" w:rsidRDefault="00F20A54" w:rsidP="00DC543A">
            <w:pPr>
              <w:jc w:val="center"/>
              <w:rPr>
                <w:rFonts w:ascii="Arial" w:hAnsi="Arial" w:cs="Arial"/>
              </w:rPr>
            </w:pPr>
            <w:r>
              <w:rPr>
                <w:rFonts w:ascii="Arial" w:hAnsi="Arial" w:cs="Arial"/>
                <w:b/>
                <w:bCs/>
                <w:color w:val="4A1B0C"/>
              </w:rPr>
              <w:t>High</w:t>
            </w:r>
          </w:p>
        </w:tc>
        <w:tc>
          <w:tcPr>
            <w:tcW w:w="2052" w:type="dxa"/>
            <w:tcBorders>
              <w:top w:val="single" w:sz="4" w:space="0" w:color="CFD3DB"/>
              <w:left w:val="single" w:sz="4" w:space="0" w:color="CFD3DB"/>
              <w:bottom w:val="single" w:sz="4" w:space="0" w:color="CFD3DB"/>
              <w:right w:val="single" w:sz="4" w:space="0" w:color="CFD3DB"/>
            </w:tcBorders>
            <w:shd w:val="clear" w:color="auto" w:fill="F5C4B3"/>
            <w:tcMar>
              <w:top w:w="80" w:type="dxa"/>
              <w:left w:w="120" w:type="dxa"/>
              <w:bottom w:w="80" w:type="dxa"/>
              <w:right w:w="120" w:type="dxa"/>
            </w:tcMar>
            <w:vAlign w:val="center"/>
          </w:tcPr>
          <w:p w14:paraId="15DA2C50" w14:textId="77777777" w:rsidR="00F20A54" w:rsidRPr="00E70260" w:rsidRDefault="00F20A54" w:rsidP="00DC543A">
            <w:pPr>
              <w:jc w:val="center"/>
              <w:rPr>
                <w:rFonts w:ascii="Arial" w:hAnsi="Arial" w:cs="Arial"/>
              </w:rPr>
            </w:pPr>
            <w:r>
              <w:rPr>
                <w:rFonts w:ascii="Arial" w:hAnsi="Arial" w:cs="Arial"/>
                <w:b/>
                <w:bCs/>
                <w:color w:val="4A1B0C"/>
              </w:rPr>
              <w:t>High</w:t>
            </w:r>
          </w:p>
        </w:tc>
      </w:tr>
      <w:tr w:rsidR="00F20A54" w:rsidRPr="00E70260" w14:paraId="389263A6" w14:textId="77777777" w:rsidTr="00D903AD">
        <w:tc>
          <w:tcPr>
            <w:tcW w:w="2860"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2AC00A4A" w14:textId="77777777" w:rsidR="00F20A54" w:rsidRPr="00E70260" w:rsidRDefault="00F20A54" w:rsidP="00D903AD">
            <w:pPr>
              <w:spacing w:after="0"/>
              <w:rPr>
                <w:rFonts w:ascii="Arial" w:hAnsi="Arial" w:cs="Arial"/>
              </w:rPr>
            </w:pPr>
            <w:r>
              <w:rPr>
                <w:rFonts w:ascii="Arial" w:hAnsi="Arial" w:cs="Arial"/>
                <w:b/>
                <w:bCs/>
                <w:color w:val="212121"/>
              </w:rPr>
              <w:t>Autonomous or agentic action</w:t>
            </w:r>
            <w:r>
              <w:rPr>
                <w:rFonts w:ascii="Arial" w:hAnsi="Arial" w:cs="Arial"/>
                <w:color w:val="212121"/>
              </w:rPr>
              <w:br/>
              <w:t>Acts without per-action human review</w:t>
            </w:r>
          </w:p>
        </w:tc>
        <w:tc>
          <w:tcPr>
            <w:tcW w:w="2052" w:type="dxa"/>
            <w:tcBorders>
              <w:top w:val="single" w:sz="4" w:space="0" w:color="CFD3DB"/>
              <w:left w:val="single" w:sz="4" w:space="0" w:color="CFD3DB"/>
              <w:bottom w:val="single" w:sz="4" w:space="0" w:color="CFD3DB"/>
              <w:right w:val="single" w:sz="4" w:space="0" w:color="CFD3DB"/>
            </w:tcBorders>
            <w:shd w:val="clear" w:color="auto" w:fill="FAEEDA"/>
            <w:tcMar>
              <w:top w:w="80" w:type="dxa"/>
              <w:left w:w="120" w:type="dxa"/>
              <w:bottom w:w="80" w:type="dxa"/>
              <w:right w:w="120" w:type="dxa"/>
            </w:tcMar>
            <w:vAlign w:val="center"/>
          </w:tcPr>
          <w:p w14:paraId="2457939F" w14:textId="77777777" w:rsidR="00F20A54" w:rsidRPr="00E70260" w:rsidRDefault="00F20A54" w:rsidP="00D903AD">
            <w:pPr>
              <w:spacing w:after="0"/>
              <w:jc w:val="center"/>
              <w:rPr>
                <w:rFonts w:ascii="Arial" w:hAnsi="Arial" w:cs="Arial"/>
              </w:rPr>
            </w:pPr>
            <w:r>
              <w:rPr>
                <w:rFonts w:ascii="Arial" w:hAnsi="Arial" w:cs="Arial"/>
                <w:b/>
                <w:bCs/>
                <w:color w:val="633806"/>
              </w:rPr>
              <w:t>Medium</w:t>
            </w:r>
          </w:p>
        </w:tc>
        <w:tc>
          <w:tcPr>
            <w:tcW w:w="2052" w:type="dxa"/>
            <w:tcBorders>
              <w:top w:val="single" w:sz="4" w:space="0" w:color="CFD3DB"/>
              <w:left w:val="single" w:sz="4" w:space="0" w:color="CFD3DB"/>
              <w:bottom w:val="single" w:sz="4" w:space="0" w:color="CFD3DB"/>
              <w:right w:val="single" w:sz="4" w:space="0" w:color="CFD3DB"/>
            </w:tcBorders>
            <w:shd w:val="clear" w:color="auto" w:fill="F7C1C1"/>
            <w:tcMar>
              <w:top w:w="80" w:type="dxa"/>
              <w:left w:w="120" w:type="dxa"/>
              <w:bottom w:w="80" w:type="dxa"/>
              <w:right w:w="120" w:type="dxa"/>
            </w:tcMar>
            <w:vAlign w:val="center"/>
          </w:tcPr>
          <w:p w14:paraId="4EC71354" w14:textId="77777777" w:rsidR="00F20A54" w:rsidRPr="00E70260" w:rsidRDefault="00F20A54" w:rsidP="00D903AD">
            <w:pPr>
              <w:spacing w:after="0"/>
              <w:jc w:val="center"/>
              <w:rPr>
                <w:rFonts w:ascii="Arial" w:hAnsi="Arial" w:cs="Arial"/>
              </w:rPr>
            </w:pPr>
            <w:r>
              <w:rPr>
                <w:rFonts w:ascii="Arial" w:hAnsi="Arial" w:cs="Arial"/>
                <w:b/>
                <w:bCs/>
                <w:color w:val="501313"/>
              </w:rPr>
              <w:t>Critical</w:t>
            </w:r>
          </w:p>
        </w:tc>
        <w:tc>
          <w:tcPr>
            <w:tcW w:w="2052" w:type="dxa"/>
            <w:tcBorders>
              <w:top w:val="single" w:sz="4" w:space="0" w:color="CFD3DB"/>
              <w:left w:val="single" w:sz="4" w:space="0" w:color="CFD3DB"/>
              <w:bottom w:val="single" w:sz="4" w:space="0" w:color="CFD3DB"/>
              <w:right w:val="single" w:sz="4" w:space="0" w:color="CFD3DB"/>
            </w:tcBorders>
            <w:shd w:val="clear" w:color="auto" w:fill="F7C1C1"/>
            <w:tcMar>
              <w:top w:w="80" w:type="dxa"/>
              <w:left w:w="120" w:type="dxa"/>
              <w:bottom w:w="80" w:type="dxa"/>
              <w:right w:w="120" w:type="dxa"/>
            </w:tcMar>
            <w:vAlign w:val="center"/>
          </w:tcPr>
          <w:p w14:paraId="463D4BD1" w14:textId="77777777" w:rsidR="00F20A54" w:rsidRPr="00E70260" w:rsidRDefault="00F20A54" w:rsidP="00D903AD">
            <w:pPr>
              <w:spacing w:after="0"/>
              <w:jc w:val="center"/>
              <w:rPr>
                <w:rFonts w:ascii="Arial" w:hAnsi="Arial" w:cs="Arial"/>
              </w:rPr>
            </w:pPr>
            <w:r>
              <w:rPr>
                <w:rFonts w:ascii="Arial" w:hAnsi="Arial" w:cs="Arial"/>
                <w:b/>
                <w:bCs/>
                <w:color w:val="501313"/>
              </w:rPr>
              <w:t>Critical</w:t>
            </w:r>
          </w:p>
        </w:tc>
      </w:tr>
    </w:tbl>
    <w:p w14:paraId="63059F29" w14:textId="3856C812" w:rsidR="00F20A54" w:rsidRPr="000D2035" w:rsidRDefault="001E4211" w:rsidP="0027270C">
      <w:pPr>
        <w:spacing w:before="240"/>
        <w:rPr>
          <w:rFonts w:ascii="Arial" w:hAnsi="Arial" w:cs="Arial"/>
        </w:rPr>
      </w:pPr>
      <w:r>
        <w:rPr>
          <w:rFonts w:ascii="Arial" w:hAnsi="Arial" w:cs="Arial"/>
          <w:color w:val="002060"/>
        </w:rPr>
        <w:t>Governance expectations by tier</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7516"/>
      </w:tblGrid>
      <w:tr w:rsidR="00F20A54" w:rsidRPr="00E70260" w14:paraId="5DA268A8" w14:textId="77777777" w:rsidTr="00DC543A">
        <w:tc>
          <w:tcPr>
            <w:tcW w:w="1500" w:type="dxa"/>
            <w:tcBorders>
              <w:top w:val="single" w:sz="4" w:space="0" w:color="CFD3DB"/>
              <w:left w:val="single" w:sz="4" w:space="0" w:color="CFD3DB"/>
              <w:bottom w:val="single" w:sz="4" w:space="0" w:color="CFD3DB"/>
              <w:right w:val="single" w:sz="4" w:space="0" w:color="CFD3DB"/>
            </w:tcBorders>
            <w:shd w:val="clear" w:color="auto" w:fill="EAF3DE"/>
            <w:tcMar>
              <w:top w:w="80" w:type="dxa"/>
              <w:left w:w="120" w:type="dxa"/>
              <w:bottom w:w="80" w:type="dxa"/>
              <w:right w:w="120" w:type="dxa"/>
            </w:tcMar>
            <w:vAlign w:val="center"/>
          </w:tcPr>
          <w:p w14:paraId="69B7C926" w14:textId="77777777" w:rsidR="00F20A54" w:rsidRPr="00E70260" w:rsidRDefault="00F20A54" w:rsidP="00DC543A">
            <w:pPr>
              <w:jc w:val="center"/>
              <w:rPr>
                <w:rFonts w:ascii="Arial" w:hAnsi="Arial" w:cs="Arial"/>
              </w:rPr>
            </w:pPr>
            <w:r>
              <w:rPr>
                <w:rFonts w:ascii="Arial" w:hAnsi="Arial" w:cs="Arial"/>
                <w:b/>
                <w:bCs/>
                <w:color w:val="27500A"/>
              </w:rPr>
              <w:t>Low</w:t>
            </w:r>
          </w:p>
        </w:tc>
        <w:tc>
          <w:tcPr>
            <w:tcW w:w="7516"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4AACAE2A" w14:textId="77777777" w:rsidR="00F20A54" w:rsidRPr="00E70260" w:rsidRDefault="00F20A54" w:rsidP="00DC543A">
            <w:pPr>
              <w:rPr>
                <w:rFonts w:ascii="Arial" w:hAnsi="Arial" w:cs="Arial"/>
              </w:rPr>
            </w:pPr>
            <w:r>
              <w:rPr>
                <w:rFonts w:ascii="Arial" w:hAnsi="Arial" w:cs="Arial"/>
                <w:color w:val="212121"/>
              </w:rPr>
              <w:t>Approved by the AI Governance Committee or equivalent with standard controls. Listed in the AI Tools Register. Reviewed annually.</w:t>
            </w:r>
          </w:p>
        </w:tc>
      </w:tr>
      <w:tr w:rsidR="00F20A54" w:rsidRPr="00E70260" w14:paraId="18143FCB" w14:textId="77777777" w:rsidTr="00DC543A">
        <w:tc>
          <w:tcPr>
            <w:tcW w:w="1500" w:type="dxa"/>
            <w:tcBorders>
              <w:top w:val="single" w:sz="4" w:space="0" w:color="CFD3DB"/>
              <w:left w:val="single" w:sz="4" w:space="0" w:color="CFD3DB"/>
              <w:bottom w:val="single" w:sz="4" w:space="0" w:color="CFD3DB"/>
              <w:right w:val="single" w:sz="4" w:space="0" w:color="CFD3DB"/>
            </w:tcBorders>
            <w:shd w:val="clear" w:color="auto" w:fill="FAEEDA"/>
            <w:tcMar>
              <w:top w:w="80" w:type="dxa"/>
              <w:left w:w="120" w:type="dxa"/>
              <w:bottom w:w="80" w:type="dxa"/>
              <w:right w:w="120" w:type="dxa"/>
            </w:tcMar>
            <w:vAlign w:val="center"/>
          </w:tcPr>
          <w:p w14:paraId="3A95E859" w14:textId="77777777" w:rsidR="00F20A54" w:rsidRPr="00E70260" w:rsidRDefault="00F20A54" w:rsidP="00DC543A">
            <w:pPr>
              <w:jc w:val="center"/>
              <w:rPr>
                <w:rFonts w:ascii="Arial" w:hAnsi="Arial" w:cs="Arial"/>
              </w:rPr>
            </w:pPr>
            <w:r>
              <w:rPr>
                <w:rFonts w:ascii="Arial" w:hAnsi="Arial" w:cs="Arial"/>
                <w:b/>
                <w:bCs/>
                <w:color w:val="633806"/>
              </w:rPr>
              <w:t>Medium</w:t>
            </w:r>
          </w:p>
        </w:tc>
        <w:tc>
          <w:tcPr>
            <w:tcW w:w="7516"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23FF66B7" w14:textId="77777777" w:rsidR="00F20A54" w:rsidRPr="00E70260" w:rsidRDefault="00F20A54" w:rsidP="00DC543A">
            <w:pPr>
              <w:rPr>
                <w:rFonts w:ascii="Arial" w:hAnsi="Arial" w:cs="Arial"/>
              </w:rPr>
            </w:pPr>
            <w:r>
              <w:rPr>
                <w:rFonts w:ascii="Arial" w:hAnsi="Arial" w:cs="Arial"/>
                <w:color w:val="212121"/>
              </w:rPr>
              <w:t>Committee approval with an AI Tool Safety Statement and training prerequisites before access. Reviewed annually, and re-assessed on any material change, including vendor-initiated model updates.</w:t>
            </w:r>
          </w:p>
        </w:tc>
      </w:tr>
      <w:tr w:rsidR="00F20A54" w:rsidRPr="00E70260" w14:paraId="005B19A6" w14:textId="77777777" w:rsidTr="00DC543A">
        <w:tc>
          <w:tcPr>
            <w:tcW w:w="1500" w:type="dxa"/>
            <w:tcBorders>
              <w:top w:val="single" w:sz="4" w:space="0" w:color="CFD3DB"/>
              <w:left w:val="single" w:sz="4" w:space="0" w:color="CFD3DB"/>
              <w:bottom w:val="single" w:sz="4" w:space="0" w:color="CFD3DB"/>
              <w:right w:val="single" w:sz="4" w:space="0" w:color="CFD3DB"/>
            </w:tcBorders>
            <w:shd w:val="clear" w:color="auto" w:fill="F5C4B3"/>
            <w:tcMar>
              <w:top w:w="80" w:type="dxa"/>
              <w:left w:w="120" w:type="dxa"/>
              <w:bottom w:w="80" w:type="dxa"/>
              <w:right w:w="120" w:type="dxa"/>
            </w:tcMar>
            <w:vAlign w:val="center"/>
          </w:tcPr>
          <w:p w14:paraId="5BE002E5" w14:textId="77777777" w:rsidR="00F20A54" w:rsidRPr="00E70260" w:rsidRDefault="00F20A54" w:rsidP="00DC543A">
            <w:pPr>
              <w:jc w:val="center"/>
              <w:rPr>
                <w:rFonts w:ascii="Arial" w:hAnsi="Arial" w:cs="Arial"/>
              </w:rPr>
            </w:pPr>
            <w:r>
              <w:rPr>
                <w:rFonts w:ascii="Arial" w:hAnsi="Arial" w:cs="Arial"/>
                <w:b/>
                <w:bCs/>
                <w:color w:val="4A1B0C"/>
              </w:rPr>
              <w:t>High</w:t>
            </w:r>
          </w:p>
        </w:tc>
        <w:tc>
          <w:tcPr>
            <w:tcW w:w="7516"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3BDBF537" w14:textId="77777777" w:rsidR="00F20A54" w:rsidRPr="00E70260" w:rsidRDefault="00F20A54" w:rsidP="00DC543A">
            <w:pPr>
              <w:rPr>
                <w:rFonts w:ascii="Arial" w:hAnsi="Arial" w:cs="Arial"/>
              </w:rPr>
            </w:pPr>
            <w:r>
              <w:rPr>
                <w:rFonts w:ascii="Arial" w:hAnsi="Arial" w:cs="Arial"/>
                <w:color w:val="212121"/>
              </w:rPr>
              <w:t>Governed through the Board with community authority before deployment. Privacy and data sovereignty impact assessment required. Reviewed at least every 12 months.</w:t>
            </w:r>
          </w:p>
        </w:tc>
      </w:tr>
      <w:tr w:rsidR="00F20A54" w:rsidRPr="00E70260" w14:paraId="74B64851" w14:textId="77777777" w:rsidTr="00DC543A">
        <w:tc>
          <w:tcPr>
            <w:tcW w:w="1500" w:type="dxa"/>
            <w:tcBorders>
              <w:top w:val="single" w:sz="4" w:space="0" w:color="CFD3DB"/>
              <w:left w:val="single" w:sz="4" w:space="0" w:color="CFD3DB"/>
              <w:bottom w:val="single" w:sz="4" w:space="0" w:color="CFD3DB"/>
              <w:right w:val="single" w:sz="4" w:space="0" w:color="CFD3DB"/>
            </w:tcBorders>
            <w:shd w:val="clear" w:color="auto" w:fill="F7C1C1"/>
            <w:tcMar>
              <w:top w:w="80" w:type="dxa"/>
              <w:left w:w="120" w:type="dxa"/>
              <w:bottom w:w="80" w:type="dxa"/>
              <w:right w:w="120" w:type="dxa"/>
            </w:tcMar>
            <w:vAlign w:val="center"/>
          </w:tcPr>
          <w:p w14:paraId="41F3A08A" w14:textId="77777777" w:rsidR="00F20A54" w:rsidRPr="00E70260" w:rsidRDefault="00F20A54" w:rsidP="00DC543A">
            <w:pPr>
              <w:jc w:val="center"/>
              <w:rPr>
                <w:rFonts w:ascii="Arial" w:hAnsi="Arial" w:cs="Arial"/>
              </w:rPr>
            </w:pPr>
            <w:r>
              <w:rPr>
                <w:rFonts w:ascii="Arial" w:hAnsi="Arial" w:cs="Arial"/>
                <w:b/>
                <w:bCs/>
                <w:color w:val="501313"/>
              </w:rPr>
              <w:t>Critical</w:t>
            </w:r>
          </w:p>
        </w:tc>
        <w:tc>
          <w:tcPr>
            <w:tcW w:w="7516"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3A62A08E" w14:textId="77777777" w:rsidR="00F20A54" w:rsidRPr="00E70260" w:rsidRDefault="00F20A54" w:rsidP="00DC543A">
            <w:pPr>
              <w:rPr>
                <w:rFonts w:ascii="Arial" w:hAnsi="Arial" w:cs="Arial"/>
              </w:rPr>
            </w:pPr>
            <w:r>
              <w:rPr>
                <w:rFonts w:ascii="Arial" w:hAnsi="Arial" w:cs="Arial"/>
                <w:color w:val="212121"/>
              </w:rPr>
              <w:t>Not deployed without remediation, explicit Board authority and community consent. Enhanced monitoring, defined shutdown and unwind procedures, and a named accountable person.</w:t>
            </w:r>
          </w:p>
        </w:tc>
      </w:tr>
    </w:tbl>
    <w:p w14:paraId="6E4E77D7" w14:textId="392A0D18" w:rsidR="000C0FE1" w:rsidRDefault="000C0FE1" w:rsidP="00B013E1">
      <w:r>
        <w:br w:type="page"/>
      </w:r>
    </w:p>
    <w:p w14:paraId="7164820E" w14:textId="77777777" w:rsidR="001E3DEE" w:rsidRPr="000D2035" w:rsidRDefault="001E3DEE" w:rsidP="001E3DEE">
      <w:pPr>
        <w:spacing w:before="240"/>
        <w:rPr>
          <w:rFonts w:ascii="Arial" w:hAnsi="Arial" w:cs="Arial"/>
        </w:rPr>
      </w:pPr>
      <w:r>
        <w:rPr>
          <w:rFonts w:ascii="Arial" w:hAnsi="Arial" w:cs="Arial"/>
          <w:color w:val="002060"/>
        </w:rPr>
        <w:lastRenderedPageBreak/>
        <w:t>Matrix 2: AI risk rating</w:t>
      </w:r>
    </w:p>
    <w:p w14:paraId="37DE4CB2" w14:textId="77777777" w:rsidR="001E3DEE" w:rsidRPr="0027270C" w:rsidRDefault="001E3DEE" w:rsidP="0027270C">
      <w:pPr>
        <w:pStyle w:val="NACCHOtext"/>
      </w:pPr>
      <w:r>
        <w:t xml:space="preserve">Once a tool is in use, individual risks and incidents are rated using the Organisation's standard likelihood and consequence approach. The consequence scale below extends the usual clinical and operational definitions </w:t>
      </w:r>
      <w:r w:rsidRPr="0027270C">
        <w:t>to include cultural harm and breaches of Indigenous Data Sovereignty, so that a culturally unsafe output or a sovereignty issue is rated on its own weight, not only by its clinical effect.</w:t>
      </w:r>
    </w:p>
    <w:tbl>
      <w:tblPr>
        <w:tblW w:w="9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23"/>
        <w:gridCol w:w="1446"/>
        <w:gridCol w:w="1446"/>
        <w:gridCol w:w="1446"/>
        <w:gridCol w:w="1446"/>
        <w:gridCol w:w="1446"/>
      </w:tblGrid>
      <w:tr w:rsidR="001E3DEE" w:rsidRPr="00E70260" w14:paraId="37922766" w14:textId="77777777" w:rsidTr="00D341E0">
        <w:trPr>
          <w:trHeight w:val="456"/>
        </w:trPr>
        <w:tc>
          <w:tcPr>
            <w:tcW w:w="1823" w:type="dxa"/>
            <w:tcBorders>
              <w:top w:val="single" w:sz="4" w:space="0" w:color="CFD3DB"/>
              <w:left w:val="single" w:sz="4" w:space="0" w:color="CFD3DB"/>
              <w:bottom w:val="single" w:sz="4" w:space="0" w:color="CFD3DB"/>
              <w:right w:val="single" w:sz="4" w:space="0" w:color="CFD3DB"/>
            </w:tcBorders>
            <w:shd w:val="clear" w:color="auto" w:fill="002060"/>
            <w:tcMar>
              <w:top w:w="80" w:type="dxa"/>
              <w:left w:w="120" w:type="dxa"/>
              <w:bottom w:w="80" w:type="dxa"/>
              <w:right w:w="120" w:type="dxa"/>
            </w:tcMar>
            <w:vAlign w:val="center"/>
          </w:tcPr>
          <w:p w14:paraId="66311B02" w14:textId="77777777" w:rsidR="001E3DEE" w:rsidRPr="00E70260" w:rsidRDefault="001E3DEE" w:rsidP="00DC543A">
            <w:pPr>
              <w:rPr>
                <w:rFonts w:ascii="Arial" w:hAnsi="Arial" w:cs="Arial"/>
              </w:rPr>
            </w:pPr>
            <w:r>
              <w:rPr>
                <w:rFonts w:ascii="Arial" w:hAnsi="Arial" w:cs="Arial"/>
                <w:b/>
                <w:bCs/>
                <w:color w:val="FFFFFF"/>
              </w:rPr>
              <w:t>Likelihood</w:t>
            </w:r>
          </w:p>
        </w:tc>
        <w:tc>
          <w:tcPr>
            <w:tcW w:w="1446" w:type="dxa"/>
            <w:tcBorders>
              <w:top w:val="single" w:sz="4" w:space="0" w:color="CFD3DB"/>
              <w:left w:val="single" w:sz="4" w:space="0" w:color="CFD3DB"/>
              <w:bottom w:val="single" w:sz="4" w:space="0" w:color="CFD3DB"/>
              <w:right w:val="single" w:sz="4" w:space="0" w:color="CFD3DB"/>
            </w:tcBorders>
            <w:shd w:val="clear" w:color="auto" w:fill="002060"/>
            <w:tcMar>
              <w:top w:w="80" w:type="dxa"/>
              <w:left w:w="120" w:type="dxa"/>
              <w:bottom w:w="80" w:type="dxa"/>
              <w:right w:w="120" w:type="dxa"/>
            </w:tcMar>
            <w:vAlign w:val="center"/>
          </w:tcPr>
          <w:p w14:paraId="04E60D79" w14:textId="77777777" w:rsidR="001E3DEE" w:rsidRPr="00E70260" w:rsidRDefault="001E3DEE" w:rsidP="00DC543A">
            <w:pPr>
              <w:jc w:val="center"/>
              <w:rPr>
                <w:rFonts w:ascii="Arial" w:hAnsi="Arial" w:cs="Arial"/>
              </w:rPr>
            </w:pPr>
            <w:r>
              <w:rPr>
                <w:rFonts w:ascii="Arial" w:hAnsi="Arial" w:cs="Arial"/>
                <w:b/>
                <w:bCs/>
                <w:color w:val="FFFFFF"/>
              </w:rPr>
              <w:t>Negligible</w:t>
            </w:r>
          </w:p>
        </w:tc>
        <w:tc>
          <w:tcPr>
            <w:tcW w:w="1446" w:type="dxa"/>
            <w:tcBorders>
              <w:top w:val="single" w:sz="4" w:space="0" w:color="CFD3DB"/>
              <w:left w:val="single" w:sz="4" w:space="0" w:color="CFD3DB"/>
              <w:bottom w:val="single" w:sz="4" w:space="0" w:color="CFD3DB"/>
              <w:right w:val="single" w:sz="4" w:space="0" w:color="CFD3DB"/>
            </w:tcBorders>
            <w:shd w:val="clear" w:color="auto" w:fill="002060"/>
            <w:tcMar>
              <w:top w:w="80" w:type="dxa"/>
              <w:left w:w="120" w:type="dxa"/>
              <w:bottom w:w="80" w:type="dxa"/>
              <w:right w:w="120" w:type="dxa"/>
            </w:tcMar>
            <w:vAlign w:val="center"/>
          </w:tcPr>
          <w:p w14:paraId="089F8419" w14:textId="77777777" w:rsidR="001E3DEE" w:rsidRPr="00E70260" w:rsidRDefault="001E3DEE" w:rsidP="00DC543A">
            <w:pPr>
              <w:jc w:val="center"/>
              <w:rPr>
                <w:rFonts w:ascii="Arial" w:hAnsi="Arial" w:cs="Arial"/>
              </w:rPr>
            </w:pPr>
            <w:r>
              <w:rPr>
                <w:rFonts w:ascii="Arial" w:hAnsi="Arial" w:cs="Arial"/>
                <w:b/>
                <w:bCs/>
                <w:color w:val="FFFFFF"/>
              </w:rPr>
              <w:t>Minor</w:t>
            </w:r>
          </w:p>
        </w:tc>
        <w:tc>
          <w:tcPr>
            <w:tcW w:w="1446" w:type="dxa"/>
            <w:tcBorders>
              <w:top w:val="single" w:sz="4" w:space="0" w:color="CFD3DB"/>
              <w:left w:val="single" w:sz="4" w:space="0" w:color="CFD3DB"/>
              <w:bottom w:val="single" w:sz="4" w:space="0" w:color="CFD3DB"/>
              <w:right w:val="single" w:sz="4" w:space="0" w:color="CFD3DB"/>
            </w:tcBorders>
            <w:shd w:val="clear" w:color="auto" w:fill="002060"/>
            <w:tcMar>
              <w:top w:w="80" w:type="dxa"/>
              <w:left w:w="120" w:type="dxa"/>
              <w:bottom w:w="80" w:type="dxa"/>
              <w:right w:w="120" w:type="dxa"/>
            </w:tcMar>
            <w:vAlign w:val="center"/>
          </w:tcPr>
          <w:p w14:paraId="6A9B5BD7" w14:textId="77777777" w:rsidR="001E3DEE" w:rsidRPr="00E70260" w:rsidRDefault="001E3DEE" w:rsidP="00DC543A">
            <w:pPr>
              <w:jc w:val="center"/>
              <w:rPr>
                <w:rFonts w:ascii="Arial" w:hAnsi="Arial" w:cs="Arial"/>
              </w:rPr>
            </w:pPr>
            <w:r>
              <w:rPr>
                <w:rFonts w:ascii="Arial" w:hAnsi="Arial" w:cs="Arial"/>
                <w:b/>
                <w:bCs/>
                <w:color w:val="FFFFFF"/>
              </w:rPr>
              <w:t>Moderate</w:t>
            </w:r>
          </w:p>
        </w:tc>
        <w:tc>
          <w:tcPr>
            <w:tcW w:w="1446" w:type="dxa"/>
            <w:tcBorders>
              <w:top w:val="single" w:sz="4" w:space="0" w:color="CFD3DB"/>
              <w:left w:val="single" w:sz="4" w:space="0" w:color="CFD3DB"/>
              <w:bottom w:val="single" w:sz="4" w:space="0" w:color="CFD3DB"/>
              <w:right w:val="single" w:sz="4" w:space="0" w:color="CFD3DB"/>
            </w:tcBorders>
            <w:shd w:val="clear" w:color="auto" w:fill="002060"/>
            <w:tcMar>
              <w:top w:w="80" w:type="dxa"/>
              <w:left w:w="120" w:type="dxa"/>
              <w:bottom w:w="80" w:type="dxa"/>
              <w:right w:w="120" w:type="dxa"/>
            </w:tcMar>
            <w:vAlign w:val="center"/>
          </w:tcPr>
          <w:p w14:paraId="651F401D" w14:textId="77777777" w:rsidR="001E3DEE" w:rsidRPr="00E70260" w:rsidRDefault="001E3DEE" w:rsidP="00DC543A">
            <w:pPr>
              <w:jc w:val="center"/>
              <w:rPr>
                <w:rFonts w:ascii="Arial" w:hAnsi="Arial" w:cs="Arial"/>
              </w:rPr>
            </w:pPr>
            <w:r>
              <w:rPr>
                <w:rFonts w:ascii="Arial" w:hAnsi="Arial" w:cs="Arial"/>
                <w:b/>
                <w:bCs/>
                <w:color w:val="FFFFFF"/>
              </w:rPr>
              <w:t>Major</w:t>
            </w:r>
          </w:p>
        </w:tc>
        <w:tc>
          <w:tcPr>
            <w:tcW w:w="1446" w:type="dxa"/>
            <w:tcBorders>
              <w:top w:val="single" w:sz="4" w:space="0" w:color="CFD3DB"/>
              <w:left w:val="single" w:sz="4" w:space="0" w:color="CFD3DB"/>
              <w:bottom w:val="single" w:sz="4" w:space="0" w:color="CFD3DB"/>
              <w:right w:val="single" w:sz="4" w:space="0" w:color="CFD3DB"/>
            </w:tcBorders>
            <w:shd w:val="clear" w:color="auto" w:fill="002060"/>
            <w:tcMar>
              <w:top w:w="80" w:type="dxa"/>
              <w:left w:w="120" w:type="dxa"/>
              <w:bottom w:w="80" w:type="dxa"/>
              <w:right w:w="120" w:type="dxa"/>
            </w:tcMar>
            <w:vAlign w:val="center"/>
          </w:tcPr>
          <w:p w14:paraId="7AEB7FC8" w14:textId="77777777" w:rsidR="001E3DEE" w:rsidRPr="00E70260" w:rsidRDefault="001E3DEE" w:rsidP="00DC543A">
            <w:pPr>
              <w:jc w:val="center"/>
              <w:rPr>
                <w:rFonts w:ascii="Arial" w:hAnsi="Arial" w:cs="Arial"/>
              </w:rPr>
            </w:pPr>
            <w:r>
              <w:rPr>
                <w:rFonts w:ascii="Arial" w:hAnsi="Arial" w:cs="Arial"/>
                <w:b/>
                <w:bCs/>
                <w:color w:val="FFFFFF"/>
              </w:rPr>
              <w:t>Severe</w:t>
            </w:r>
          </w:p>
        </w:tc>
      </w:tr>
      <w:tr w:rsidR="001E3DEE" w:rsidRPr="00E70260" w14:paraId="4C0820C4" w14:textId="77777777" w:rsidTr="00D341E0">
        <w:trPr>
          <w:trHeight w:val="303"/>
        </w:trPr>
        <w:tc>
          <w:tcPr>
            <w:tcW w:w="1823"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7CFE44C0" w14:textId="77777777" w:rsidR="001E3DEE" w:rsidRPr="00E70260" w:rsidRDefault="001E3DEE" w:rsidP="00D341E0">
            <w:pPr>
              <w:spacing w:after="0"/>
              <w:rPr>
                <w:rFonts w:ascii="Arial" w:hAnsi="Arial" w:cs="Arial"/>
              </w:rPr>
            </w:pPr>
            <w:r>
              <w:rPr>
                <w:rFonts w:ascii="Arial" w:hAnsi="Arial" w:cs="Arial"/>
                <w:b/>
                <w:bCs/>
                <w:color w:val="212121"/>
              </w:rPr>
              <w:t>Almost certain</w:t>
            </w:r>
          </w:p>
        </w:tc>
        <w:tc>
          <w:tcPr>
            <w:tcW w:w="1446" w:type="dxa"/>
            <w:tcBorders>
              <w:top w:val="single" w:sz="4" w:space="0" w:color="CFD3DB"/>
              <w:left w:val="single" w:sz="4" w:space="0" w:color="CFD3DB"/>
              <w:bottom w:val="single" w:sz="4" w:space="0" w:color="CFD3DB"/>
              <w:right w:val="single" w:sz="4" w:space="0" w:color="CFD3DB"/>
            </w:tcBorders>
            <w:shd w:val="clear" w:color="auto" w:fill="FAEEDA"/>
            <w:tcMar>
              <w:top w:w="80" w:type="dxa"/>
              <w:left w:w="120" w:type="dxa"/>
              <w:bottom w:w="80" w:type="dxa"/>
              <w:right w:w="120" w:type="dxa"/>
            </w:tcMar>
            <w:vAlign w:val="center"/>
          </w:tcPr>
          <w:p w14:paraId="41A06BA4" w14:textId="77777777" w:rsidR="001E3DEE" w:rsidRPr="00E70260" w:rsidRDefault="001E3DEE" w:rsidP="00D341E0">
            <w:pPr>
              <w:spacing w:after="0"/>
              <w:jc w:val="center"/>
              <w:rPr>
                <w:rFonts w:ascii="Arial" w:hAnsi="Arial" w:cs="Arial"/>
              </w:rPr>
            </w:pPr>
            <w:r>
              <w:rPr>
                <w:rFonts w:ascii="Arial" w:hAnsi="Arial" w:cs="Arial"/>
                <w:b/>
                <w:bCs/>
                <w:color w:val="633806"/>
              </w:rPr>
              <w:t>Medium</w:t>
            </w:r>
          </w:p>
        </w:tc>
        <w:tc>
          <w:tcPr>
            <w:tcW w:w="1446" w:type="dxa"/>
            <w:tcBorders>
              <w:top w:val="single" w:sz="4" w:space="0" w:color="CFD3DB"/>
              <w:left w:val="single" w:sz="4" w:space="0" w:color="CFD3DB"/>
              <w:bottom w:val="single" w:sz="4" w:space="0" w:color="CFD3DB"/>
              <w:right w:val="single" w:sz="4" w:space="0" w:color="CFD3DB"/>
            </w:tcBorders>
            <w:shd w:val="clear" w:color="auto" w:fill="F5C4B3"/>
            <w:tcMar>
              <w:top w:w="80" w:type="dxa"/>
              <w:left w:w="120" w:type="dxa"/>
              <w:bottom w:w="80" w:type="dxa"/>
              <w:right w:w="120" w:type="dxa"/>
            </w:tcMar>
            <w:vAlign w:val="center"/>
          </w:tcPr>
          <w:p w14:paraId="424E5004" w14:textId="77777777" w:rsidR="001E3DEE" w:rsidRPr="00E70260" w:rsidRDefault="001E3DEE" w:rsidP="00D341E0">
            <w:pPr>
              <w:spacing w:after="0"/>
              <w:jc w:val="center"/>
              <w:rPr>
                <w:rFonts w:ascii="Arial" w:hAnsi="Arial" w:cs="Arial"/>
              </w:rPr>
            </w:pPr>
            <w:r>
              <w:rPr>
                <w:rFonts w:ascii="Arial" w:hAnsi="Arial" w:cs="Arial"/>
                <w:b/>
                <w:bCs/>
                <w:color w:val="4A1B0C"/>
              </w:rPr>
              <w:t>High</w:t>
            </w:r>
          </w:p>
        </w:tc>
        <w:tc>
          <w:tcPr>
            <w:tcW w:w="1446" w:type="dxa"/>
            <w:tcBorders>
              <w:top w:val="single" w:sz="4" w:space="0" w:color="CFD3DB"/>
              <w:left w:val="single" w:sz="4" w:space="0" w:color="CFD3DB"/>
              <w:bottom w:val="single" w:sz="4" w:space="0" w:color="CFD3DB"/>
              <w:right w:val="single" w:sz="4" w:space="0" w:color="CFD3DB"/>
            </w:tcBorders>
            <w:shd w:val="clear" w:color="auto" w:fill="F5C4B3"/>
            <w:tcMar>
              <w:top w:w="80" w:type="dxa"/>
              <w:left w:w="120" w:type="dxa"/>
              <w:bottom w:w="80" w:type="dxa"/>
              <w:right w:w="120" w:type="dxa"/>
            </w:tcMar>
            <w:vAlign w:val="center"/>
          </w:tcPr>
          <w:p w14:paraId="51607056" w14:textId="77777777" w:rsidR="001E3DEE" w:rsidRPr="00E70260" w:rsidRDefault="001E3DEE" w:rsidP="00D341E0">
            <w:pPr>
              <w:spacing w:after="0"/>
              <w:jc w:val="center"/>
              <w:rPr>
                <w:rFonts w:ascii="Arial" w:hAnsi="Arial" w:cs="Arial"/>
              </w:rPr>
            </w:pPr>
            <w:r>
              <w:rPr>
                <w:rFonts w:ascii="Arial" w:hAnsi="Arial" w:cs="Arial"/>
                <w:b/>
                <w:bCs/>
                <w:color w:val="4A1B0C"/>
              </w:rPr>
              <w:t>High</w:t>
            </w:r>
          </w:p>
        </w:tc>
        <w:tc>
          <w:tcPr>
            <w:tcW w:w="1446" w:type="dxa"/>
            <w:tcBorders>
              <w:top w:val="single" w:sz="4" w:space="0" w:color="CFD3DB"/>
              <w:left w:val="single" w:sz="4" w:space="0" w:color="CFD3DB"/>
              <w:bottom w:val="single" w:sz="4" w:space="0" w:color="CFD3DB"/>
              <w:right w:val="single" w:sz="4" w:space="0" w:color="CFD3DB"/>
            </w:tcBorders>
            <w:shd w:val="clear" w:color="auto" w:fill="F7C1C1"/>
            <w:tcMar>
              <w:top w:w="80" w:type="dxa"/>
              <w:left w:w="120" w:type="dxa"/>
              <w:bottom w:w="80" w:type="dxa"/>
              <w:right w:w="120" w:type="dxa"/>
            </w:tcMar>
            <w:vAlign w:val="center"/>
          </w:tcPr>
          <w:p w14:paraId="7BC266A2" w14:textId="77777777" w:rsidR="001E3DEE" w:rsidRPr="00E70260" w:rsidRDefault="001E3DEE" w:rsidP="00D341E0">
            <w:pPr>
              <w:spacing w:after="0"/>
              <w:jc w:val="center"/>
              <w:rPr>
                <w:rFonts w:ascii="Arial" w:hAnsi="Arial" w:cs="Arial"/>
              </w:rPr>
            </w:pPr>
            <w:r>
              <w:rPr>
                <w:rFonts w:ascii="Arial" w:hAnsi="Arial" w:cs="Arial"/>
                <w:b/>
                <w:bCs/>
                <w:color w:val="501313"/>
              </w:rPr>
              <w:t>Extreme</w:t>
            </w:r>
          </w:p>
        </w:tc>
        <w:tc>
          <w:tcPr>
            <w:tcW w:w="1446" w:type="dxa"/>
            <w:tcBorders>
              <w:top w:val="single" w:sz="4" w:space="0" w:color="CFD3DB"/>
              <w:left w:val="single" w:sz="4" w:space="0" w:color="CFD3DB"/>
              <w:bottom w:val="single" w:sz="4" w:space="0" w:color="CFD3DB"/>
              <w:right w:val="single" w:sz="4" w:space="0" w:color="CFD3DB"/>
            </w:tcBorders>
            <w:shd w:val="clear" w:color="auto" w:fill="F7C1C1"/>
            <w:tcMar>
              <w:top w:w="80" w:type="dxa"/>
              <w:left w:w="120" w:type="dxa"/>
              <w:bottom w:w="80" w:type="dxa"/>
              <w:right w:w="120" w:type="dxa"/>
            </w:tcMar>
            <w:vAlign w:val="center"/>
          </w:tcPr>
          <w:p w14:paraId="6BE85B6C" w14:textId="77777777" w:rsidR="001E3DEE" w:rsidRPr="00E70260" w:rsidRDefault="001E3DEE" w:rsidP="00D341E0">
            <w:pPr>
              <w:spacing w:after="0"/>
              <w:jc w:val="center"/>
              <w:rPr>
                <w:rFonts w:ascii="Arial" w:hAnsi="Arial" w:cs="Arial"/>
              </w:rPr>
            </w:pPr>
            <w:r>
              <w:rPr>
                <w:rFonts w:ascii="Arial" w:hAnsi="Arial" w:cs="Arial"/>
                <w:b/>
                <w:bCs/>
                <w:color w:val="501313"/>
              </w:rPr>
              <w:t>Extreme</w:t>
            </w:r>
          </w:p>
        </w:tc>
      </w:tr>
      <w:tr w:rsidR="001E3DEE" w:rsidRPr="00E70260" w14:paraId="35F8CDF0" w14:textId="77777777" w:rsidTr="00D341E0">
        <w:trPr>
          <w:trHeight w:val="303"/>
        </w:trPr>
        <w:tc>
          <w:tcPr>
            <w:tcW w:w="1823"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6EDDD3A5" w14:textId="77777777" w:rsidR="001E3DEE" w:rsidRPr="00E70260" w:rsidRDefault="001E3DEE" w:rsidP="00D341E0">
            <w:pPr>
              <w:spacing w:after="0"/>
              <w:rPr>
                <w:rFonts w:ascii="Arial" w:hAnsi="Arial" w:cs="Arial"/>
              </w:rPr>
            </w:pPr>
            <w:r>
              <w:rPr>
                <w:rFonts w:ascii="Arial" w:hAnsi="Arial" w:cs="Arial"/>
                <w:b/>
                <w:bCs/>
                <w:color w:val="212121"/>
              </w:rPr>
              <w:t>Likely</w:t>
            </w:r>
          </w:p>
        </w:tc>
        <w:tc>
          <w:tcPr>
            <w:tcW w:w="1446" w:type="dxa"/>
            <w:tcBorders>
              <w:top w:val="single" w:sz="4" w:space="0" w:color="CFD3DB"/>
              <w:left w:val="single" w:sz="4" w:space="0" w:color="CFD3DB"/>
              <w:bottom w:val="single" w:sz="4" w:space="0" w:color="CFD3DB"/>
              <w:right w:val="single" w:sz="4" w:space="0" w:color="CFD3DB"/>
            </w:tcBorders>
            <w:shd w:val="clear" w:color="auto" w:fill="FAEEDA"/>
            <w:tcMar>
              <w:top w:w="80" w:type="dxa"/>
              <w:left w:w="120" w:type="dxa"/>
              <w:bottom w:w="80" w:type="dxa"/>
              <w:right w:w="120" w:type="dxa"/>
            </w:tcMar>
            <w:vAlign w:val="center"/>
          </w:tcPr>
          <w:p w14:paraId="4F0D55FB" w14:textId="77777777" w:rsidR="001E3DEE" w:rsidRPr="00E70260" w:rsidRDefault="001E3DEE" w:rsidP="00D341E0">
            <w:pPr>
              <w:spacing w:after="0"/>
              <w:jc w:val="center"/>
              <w:rPr>
                <w:rFonts w:ascii="Arial" w:hAnsi="Arial" w:cs="Arial"/>
              </w:rPr>
            </w:pPr>
            <w:r>
              <w:rPr>
                <w:rFonts w:ascii="Arial" w:hAnsi="Arial" w:cs="Arial"/>
                <w:b/>
                <w:bCs/>
                <w:color w:val="633806"/>
              </w:rPr>
              <w:t>Medium</w:t>
            </w:r>
          </w:p>
        </w:tc>
        <w:tc>
          <w:tcPr>
            <w:tcW w:w="1446" w:type="dxa"/>
            <w:tcBorders>
              <w:top w:val="single" w:sz="4" w:space="0" w:color="CFD3DB"/>
              <w:left w:val="single" w:sz="4" w:space="0" w:color="CFD3DB"/>
              <w:bottom w:val="single" w:sz="4" w:space="0" w:color="CFD3DB"/>
              <w:right w:val="single" w:sz="4" w:space="0" w:color="CFD3DB"/>
            </w:tcBorders>
            <w:shd w:val="clear" w:color="auto" w:fill="FAEEDA"/>
            <w:tcMar>
              <w:top w:w="80" w:type="dxa"/>
              <w:left w:w="120" w:type="dxa"/>
              <w:bottom w:w="80" w:type="dxa"/>
              <w:right w:w="120" w:type="dxa"/>
            </w:tcMar>
            <w:vAlign w:val="center"/>
          </w:tcPr>
          <w:p w14:paraId="4DA84D88" w14:textId="77777777" w:rsidR="001E3DEE" w:rsidRPr="00E70260" w:rsidRDefault="001E3DEE" w:rsidP="00D341E0">
            <w:pPr>
              <w:spacing w:after="0"/>
              <w:jc w:val="center"/>
              <w:rPr>
                <w:rFonts w:ascii="Arial" w:hAnsi="Arial" w:cs="Arial"/>
              </w:rPr>
            </w:pPr>
            <w:r>
              <w:rPr>
                <w:rFonts w:ascii="Arial" w:hAnsi="Arial" w:cs="Arial"/>
                <w:b/>
                <w:bCs/>
                <w:color w:val="633806"/>
              </w:rPr>
              <w:t>Medium</w:t>
            </w:r>
          </w:p>
        </w:tc>
        <w:tc>
          <w:tcPr>
            <w:tcW w:w="1446" w:type="dxa"/>
            <w:tcBorders>
              <w:top w:val="single" w:sz="4" w:space="0" w:color="CFD3DB"/>
              <w:left w:val="single" w:sz="4" w:space="0" w:color="CFD3DB"/>
              <w:bottom w:val="single" w:sz="4" w:space="0" w:color="CFD3DB"/>
              <w:right w:val="single" w:sz="4" w:space="0" w:color="CFD3DB"/>
            </w:tcBorders>
            <w:shd w:val="clear" w:color="auto" w:fill="F5C4B3"/>
            <w:tcMar>
              <w:top w:w="80" w:type="dxa"/>
              <w:left w:w="120" w:type="dxa"/>
              <w:bottom w:w="80" w:type="dxa"/>
              <w:right w:w="120" w:type="dxa"/>
            </w:tcMar>
            <w:vAlign w:val="center"/>
          </w:tcPr>
          <w:p w14:paraId="4CB341F5" w14:textId="77777777" w:rsidR="001E3DEE" w:rsidRPr="00E70260" w:rsidRDefault="001E3DEE" w:rsidP="00D341E0">
            <w:pPr>
              <w:spacing w:after="0"/>
              <w:jc w:val="center"/>
              <w:rPr>
                <w:rFonts w:ascii="Arial" w:hAnsi="Arial" w:cs="Arial"/>
              </w:rPr>
            </w:pPr>
            <w:r>
              <w:rPr>
                <w:rFonts w:ascii="Arial" w:hAnsi="Arial" w:cs="Arial"/>
                <w:b/>
                <w:bCs/>
                <w:color w:val="4A1B0C"/>
              </w:rPr>
              <w:t>High</w:t>
            </w:r>
          </w:p>
        </w:tc>
        <w:tc>
          <w:tcPr>
            <w:tcW w:w="1446" w:type="dxa"/>
            <w:tcBorders>
              <w:top w:val="single" w:sz="4" w:space="0" w:color="CFD3DB"/>
              <w:left w:val="single" w:sz="4" w:space="0" w:color="CFD3DB"/>
              <w:bottom w:val="single" w:sz="4" w:space="0" w:color="CFD3DB"/>
              <w:right w:val="single" w:sz="4" w:space="0" w:color="CFD3DB"/>
            </w:tcBorders>
            <w:shd w:val="clear" w:color="auto" w:fill="F7C1C1"/>
            <w:tcMar>
              <w:top w:w="80" w:type="dxa"/>
              <w:left w:w="120" w:type="dxa"/>
              <w:bottom w:w="80" w:type="dxa"/>
              <w:right w:w="120" w:type="dxa"/>
            </w:tcMar>
            <w:vAlign w:val="center"/>
          </w:tcPr>
          <w:p w14:paraId="13F62EE5" w14:textId="77777777" w:rsidR="001E3DEE" w:rsidRPr="00E70260" w:rsidRDefault="001E3DEE" w:rsidP="00D341E0">
            <w:pPr>
              <w:spacing w:after="0"/>
              <w:jc w:val="center"/>
              <w:rPr>
                <w:rFonts w:ascii="Arial" w:hAnsi="Arial" w:cs="Arial"/>
              </w:rPr>
            </w:pPr>
            <w:r>
              <w:rPr>
                <w:rFonts w:ascii="Arial" w:hAnsi="Arial" w:cs="Arial"/>
                <w:b/>
                <w:bCs/>
                <w:color w:val="501313"/>
              </w:rPr>
              <w:t>Extreme</w:t>
            </w:r>
          </w:p>
        </w:tc>
        <w:tc>
          <w:tcPr>
            <w:tcW w:w="1446" w:type="dxa"/>
            <w:tcBorders>
              <w:top w:val="single" w:sz="4" w:space="0" w:color="CFD3DB"/>
              <w:left w:val="single" w:sz="4" w:space="0" w:color="CFD3DB"/>
              <w:bottom w:val="single" w:sz="4" w:space="0" w:color="CFD3DB"/>
              <w:right w:val="single" w:sz="4" w:space="0" w:color="CFD3DB"/>
            </w:tcBorders>
            <w:shd w:val="clear" w:color="auto" w:fill="F7C1C1"/>
            <w:tcMar>
              <w:top w:w="80" w:type="dxa"/>
              <w:left w:w="120" w:type="dxa"/>
              <w:bottom w:w="80" w:type="dxa"/>
              <w:right w:w="120" w:type="dxa"/>
            </w:tcMar>
            <w:vAlign w:val="center"/>
          </w:tcPr>
          <w:p w14:paraId="6671C754" w14:textId="77777777" w:rsidR="001E3DEE" w:rsidRPr="00E70260" w:rsidRDefault="001E3DEE" w:rsidP="00D341E0">
            <w:pPr>
              <w:spacing w:after="0"/>
              <w:jc w:val="center"/>
              <w:rPr>
                <w:rFonts w:ascii="Arial" w:hAnsi="Arial" w:cs="Arial"/>
              </w:rPr>
            </w:pPr>
            <w:r>
              <w:rPr>
                <w:rFonts w:ascii="Arial" w:hAnsi="Arial" w:cs="Arial"/>
                <w:b/>
                <w:bCs/>
                <w:color w:val="501313"/>
              </w:rPr>
              <w:t>Extreme</w:t>
            </w:r>
          </w:p>
        </w:tc>
      </w:tr>
      <w:tr w:rsidR="001E3DEE" w:rsidRPr="00E70260" w14:paraId="00D825CE" w14:textId="77777777" w:rsidTr="00D341E0">
        <w:trPr>
          <w:trHeight w:val="303"/>
        </w:trPr>
        <w:tc>
          <w:tcPr>
            <w:tcW w:w="1823"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250143A9" w14:textId="77777777" w:rsidR="001E3DEE" w:rsidRPr="00E70260" w:rsidRDefault="001E3DEE" w:rsidP="00D341E0">
            <w:pPr>
              <w:spacing w:after="0"/>
              <w:rPr>
                <w:rFonts w:ascii="Arial" w:hAnsi="Arial" w:cs="Arial"/>
              </w:rPr>
            </w:pPr>
            <w:r>
              <w:rPr>
                <w:rFonts w:ascii="Arial" w:hAnsi="Arial" w:cs="Arial"/>
                <w:b/>
                <w:bCs/>
                <w:color w:val="212121"/>
              </w:rPr>
              <w:t>Possible</w:t>
            </w:r>
          </w:p>
        </w:tc>
        <w:tc>
          <w:tcPr>
            <w:tcW w:w="1446" w:type="dxa"/>
            <w:tcBorders>
              <w:top w:val="single" w:sz="4" w:space="0" w:color="CFD3DB"/>
              <w:left w:val="single" w:sz="4" w:space="0" w:color="CFD3DB"/>
              <w:bottom w:val="single" w:sz="4" w:space="0" w:color="CFD3DB"/>
              <w:right w:val="single" w:sz="4" w:space="0" w:color="CFD3DB"/>
            </w:tcBorders>
            <w:shd w:val="clear" w:color="auto" w:fill="EAF3DE"/>
            <w:tcMar>
              <w:top w:w="80" w:type="dxa"/>
              <w:left w:w="120" w:type="dxa"/>
              <w:bottom w:w="80" w:type="dxa"/>
              <w:right w:w="120" w:type="dxa"/>
            </w:tcMar>
            <w:vAlign w:val="center"/>
          </w:tcPr>
          <w:p w14:paraId="3C8D6B35" w14:textId="77777777" w:rsidR="001E3DEE" w:rsidRPr="00E70260" w:rsidRDefault="001E3DEE" w:rsidP="00D341E0">
            <w:pPr>
              <w:spacing w:after="0"/>
              <w:jc w:val="center"/>
              <w:rPr>
                <w:rFonts w:ascii="Arial" w:hAnsi="Arial" w:cs="Arial"/>
              </w:rPr>
            </w:pPr>
            <w:r>
              <w:rPr>
                <w:rFonts w:ascii="Arial" w:hAnsi="Arial" w:cs="Arial"/>
                <w:b/>
                <w:bCs/>
                <w:color w:val="27500A"/>
              </w:rPr>
              <w:t>Low</w:t>
            </w:r>
          </w:p>
        </w:tc>
        <w:tc>
          <w:tcPr>
            <w:tcW w:w="1446" w:type="dxa"/>
            <w:tcBorders>
              <w:top w:val="single" w:sz="4" w:space="0" w:color="CFD3DB"/>
              <w:left w:val="single" w:sz="4" w:space="0" w:color="CFD3DB"/>
              <w:bottom w:val="single" w:sz="4" w:space="0" w:color="CFD3DB"/>
              <w:right w:val="single" w:sz="4" w:space="0" w:color="CFD3DB"/>
            </w:tcBorders>
            <w:shd w:val="clear" w:color="auto" w:fill="FAEEDA"/>
            <w:tcMar>
              <w:top w:w="80" w:type="dxa"/>
              <w:left w:w="120" w:type="dxa"/>
              <w:bottom w:w="80" w:type="dxa"/>
              <w:right w:w="120" w:type="dxa"/>
            </w:tcMar>
            <w:vAlign w:val="center"/>
          </w:tcPr>
          <w:p w14:paraId="1856AEAB" w14:textId="77777777" w:rsidR="001E3DEE" w:rsidRPr="00E70260" w:rsidRDefault="001E3DEE" w:rsidP="00D341E0">
            <w:pPr>
              <w:spacing w:after="0"/>
              <w:jc w:val="center"/>
              <w:rPr>
                <w:rFonts w:ascii="Arial" w:hAnsi="Arial" w:cs="Arial"/>
              </w:rPr>
            </w:pPr>
            <w:r>
              <w:rPr>
                <w:rFonts w:ascii="Arial" w:hAnsi="Arial" w:cs="Arial"/>
                <w:b/>
                <w:bCs/>
                <w:color w:val="633806"/>
              </w:rPr>
              <w:t>Medium</w:t>
            </w:r>
          </w:p>
        </w:tc>
        <w:tc>
          <w:tcPr>
            <w:tcW w:w="1446" w:type="dxa"/>
            <w:tcBorders>
              <w:top w:val="single" w:sz="4" w:space="0" w:color="CFD3DB"/>
              <w:left w:val="single" w:sz="4" w:space="0" w:color="CFD3DB"/>
              <w:bottom w:val="single" w:sz="4" w:space="0" w:color="CFD3DB"/>
              <w:right w:val="single" w:sz="4" w:space="0" w:color="CFD3DB"/>
            </w:tcBorders>
            <w:shd w:val="clear" w:color="auto" w:fill="F5C4B3"/>
            <w:tcMar>
              <w:top w:w="80" w:type="dxa"/>
              <w:left w:w="120" w:type="dxa"/>
              <w:bottom w:w="80" w:type="dxa"/>
              <w:right w:w="120" w:type="dxa"/>
            </w:tcMar>
            <w:vAlign w:val="center"/>
          </w:tcPr>
          <w:p w14:paraId="50778480" w14:textId="77777777" w:rsidR="001E3DEE" w:rsidRPr="00E70260" w:rsidRDefault="001E3DEE" w:rsidP="00D341E0">
            <w:pPr>
              <w:spacing w:after="0"/>
              <w:jc w:val="center"/>
              <w:rPr>
                <w:rFonts w:ascii="Arial" w:hAnsi="Arial" w:cs="Arial"/>
              </w:rPr>
            </w:pPr>
            <w:r>
              <w:rPr>
                <w:rFonts w:ascii="Arial" w:hAnsi="Arial" w:cs="Arial"/>
                <w:b/>
                <w:bCs/>
                <w:color w:val="4A1B0C"/>
              </w:rPr>
              <w:t>High</w:t>
            </w:r>
          </w:p>
        </w:tc>
        <w:tc>
          <w:tcPr>
            <w:tcW w:w="1446" w:type="dxa"/>
            <w:tcBorders>
              <w:top w:val="single" w:sz="4" w:space="0" w:color="CFD3DB"/>
              <w:left w:val="single" w:sz="4" w:space="0" w:color="CFD3DB"/>
              <w:bottom w:val="single" w:sz="4" w:space="0" w:color="CFD3DB"/>
              <w:right w:val="single" w:sz="4" w:space="0" w:color="CFD3DB"/>
            </w:tcBorders>
            <w:shd w:val="clear" w:color="auto" w:fill="F5C4B3"/>
            <w:tcMar>
              <w:top w:w="80" w:type="dxa"/>
              <w:left w:w="120" w:type="dxa"/>
              <w:bottom w:w="80" w:type="dxa"/>
              <w:right w:w="120" w:type="dxa"/>
            </w:tcMar>
            <w:vAlign w:val="center"/>
          </w:tcPr>
          <w:p w14:paraId="14230D0D" w14:textId="77777777" w:rsidR="001E3DEE" w:rsidRPr="00E70260" w:rsidRDefault="001E3DEE" w:rsidP="00D341E0">
            <w:pPr>
              <w:spacing w:after="0"/>
              <w:jc w:val="center"/>
              <w:rPr>
                <w:rFonts w:ascii="Arial" w:hAnsi="Arial" w:cs="Arial"/>
              </w:rPr>
            </w:pPr>
            <w:r>
              <w:rPr>
                <w:rFonts w:ascii="Arial" w:hAnsi="Arial" w:cs="Arial"/>
                <w:b/>
                <w:bCs/>
                <w:color w:val="4A1B0C"/>
              </w:rPr>
              <w:t>High</w:t>
            </w:r>
          </w:p>
        </w:tc>
        <w:tc>
          <w:tcPr>
            <w:tcW w:w="1446" w:type="dxa"/>
            <w:tcBorders>
              <w:top w:val="single" w:sz="4" w:space="0" w:color="CFD3DB"/>
              <w:left w:val="single" w:sz="4" w:space="0" w:color="CFD3DB"/>
              <w:bottom w:val="single" w:sz="4" w:space="0" w:color="CFD3DB"/>
              <w:right w:val="single" w:sz="4" w:space="0" w:color="CFD3DB"/>
            </w:tcBorders>
            <w:shd w:val="clear" w:color="auto" w:fill="F7C1C1"/>
            <w:tcMar>
              <w:top w:w="80" w:type="dxa"/>
              <w:left w:w="120" w:type="dxa"/>
              <w:bottom w:w="80" w:type="dxa"/>
              <w:right w:w="120" w:type="dxa"/>
            </w:tcMar>
            <w:vAlign w:val="center"/>
          </w:tcPr>
          <w:p w14:paraId="1FB86A71" w14:textId="77777777" w:rsidR="001E3DEE" w:rsidRPr="00E70260" w:rsidRDefault="001E3DEE" w:rsidP="00D341E0">
            <w:pPr>
              <w:spacing w:after="0"/>
              <w:jc w:val="center"/>
              <w:rPr>
                <w:rFonts w:ascii="Arial" w:hAnsi="Arial" w:cs="Arial"/>
              </w:rPr>
            </w:pPr>
            <w:r>
              <w:rPr>
                <w:rFonts w:ascii="Arial" w:hAnsi="Arial" w:cs="Arial"/>
                <w:b/>
                <w:bCs/>
                <w:color w:val="501313"/>
              </w:rPr>
              <w:t>Extreme</w:t>
            </w:r>
          </w:p>
        </w:tc>
      </w:tr>
      <w:tr w:rsidR="001E3DEE" w:rsidRPr="00E70260" w14:paraId="7A3CDFFF" w14:textId="77777777" w:rsidTr="00D341E0">
        <w:trPr>
          <w:trHeight w:val="303"/>
        </w:trPr>
        <w:tc>
          <w:tcPr>
            <w:tcW w:w="1823"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7F2EFE83" w14:textId="77777777" w:rsidR="001E3DEE" w:rsidRPr="00E70260" w:rsidRDefault="001E3DEE" w:rsidP="00D341E0">
            <w:pPr>
              <w:spacing w:after="0"/>
              <w:rPr>
                <w:rFonts w:ascii="Arial" w:hAnsi="Arial" w:cs="Arial"/>
              </w:rPr>
            </w:pPr>
            <w:r>
              <w:rPr>
                <w:rFonts w:ascii="Arial" w:hAnsi="Arial" w:cs="Arial"/>
                <w:b/>
                <w:bCs/>
                <w:color w:val="212121"/>
              </w:rPr>
              <w:t>Unlikely</w:t>
            </w:r>
          </w:p>
        </w:tc>
        <w:tc>
          <w:tcPr>
            <w:tcW w:w="1446" w:type="dxa"/>
            <w:tcBorders>
              <w:top w:val="single" w:sz="4" w:space="0" w:color="CFD3DB"/>
              <w:left w:val="single" w:sz="4" w:space="0" w:color="CFD3DB"/>
              <w:bottom w:val="single" w:sz="4" w:space="0" w:color="CFD3DB"/>
              <w:right w:val="single" w:sz="4" w:space="0" w:color="CFD3DB"/>
            </w:tcBorders>
            <w:shd w:val="clear" w:color="auto" w:fill="EAF3DE"/>
            <w:tcMar>
              <w:top w:w="80" w:type="dxa"/>
              <w:left w:w="120" w:type="dxa"/>
              <w:bottom w:w="80" w:type="dxa"/>
              <w:right w:w="120" w:type="dxa"/>
            </w:tcMar>
            <w:vAlign w:val="center"/>
          </w:tcPr>
          <w:p w14:paraId="48E6EE03" w14:textId="77777777" w:rsidR="001E3DEE" w:rsidRPr="00E70260" w:rsidRDefault="001E3DEE" w:rsidP="00D341E0">
            <w:pPr>
              <w:spacing w:after="0"/>
              <w:jc w:val="center"/>
              <w:rPr>
                <w:rFonts w:ascii="Arial" w:hAnsi="Arial" w:cs="Arial"/>
              </w:rPr>
            </w:pPr>
            <w:r>
              <w:rPr>
                <w:rFonts w:ascii="Arial" w:hAnsi="Arial" w:cs="Arial"/>
                <w:b/>
                <w:bCs/>
                <w:color w:val="27500A"/>
              </w:rPr>
              <w:t>Low</w:t>
            </w:r>
          </w:p>
        </w:tc>
        <w:tc>
          <w:tcPr>
            <w:tcW w:w="1446" w:type="dxa"/>
            <w:tcBorders>
              <w:top w:val="single" w:sz="4" w:space="0" w:color="CFD3DB"/>
              <w:left w:val="single" w:sz="4" w:space="0" w:color="CFD3DB"/>
              <w:bottom w:val="single" w:sz="4" w:space="0" w:color="CFD3DB"/>
              <w:right w:val="single" w:sz="4" w:space="0" w:color="CFD3DB"/>
            </w:tcBorders>
            <w:shd w:val="clear" w:color="auto" w:fill="FAEEDA"/>
            <w:tcMar>
              <w:top w:w="80" w:type="dxa"/>
              <w:left w:w="120" w:type="dxa"/>
              <w:bottom w:w="80" w:type="dxa"/>
              <w:right w:w="120" w:type="dxa"/>
            </w:tcMar>
            <w:vAlign w:val="center"/>
          </w:tcPr>
          <w:p w14:paraId="5E45C939" w14:textId="77777777" w:rsidR="001E3DEE" w:rsidRPr="00E70260" w:rsidRDefault="001E3DEE" w:rsidP="00D341E0">
            <w:pPr>
              <w:spacing w:after="0"/>
              <w:jc w:val="center"/>
              <w:rPr>
                <w:rFonts w:ascii="Arial" w:hAnsi="Arial" w:cs="Arial"/>
              </w:rPr>
            </w:pPr>
            <w:r>
              <w:rPr>
                <w:rFonts w:ascii="Arial" w:hAnsi="Arial" w:cs="Arial"/>
                <w:b/>
                <w:bCs/>
                <w:color w:val="633806"/>
              </w:rPr>
              <w:t>Medium</w:t>
            </w:r>
          </w:p>
        </w:tc>
        <w:tc>
          <w:tcPr>
            <w:tcW w:w="1446" w:type="dxa"/>
            <w:tcBorders>
              <w:top w:val="single" w:sz="4" w:space="0" w:color="CFD3DB"/>
              <w:left w:val="single" w:sz="4" w:space="0" w:color="CFD3DB"/>
              <w:bottom w:val="single" w:sz="4" w:space="0" w:color="CFD3DB"/>
              <w:right w:val="single" w:sz="4" w:space="0" w:color="CFD3DB"/>
            </w:tcBorders>
            <w:shd w:val="clear" w:color="auto" w:fill="FAEEDA"/>
            <w:tcMar>
              <w:top w:w="80" w:type="dxa"/>
              <w:left w:w="120" w:type="dxa"/>
              <w:bottom w:w="80" w:type="dxa"/>
              <w:right w:w="120" w:type="dxa"/>
            </w:tcMar>
            <w:vAlign w:val="center"/>
          </w:tcPr>
          <w:p w14:paraId="36456B45" w14:textId="77777777" w:rsidR="001E3DEE" w:rsidRPr="00E70260" w:rsidRDefault="001E3DEE" w:rsidP="00D341E0">
            <w:pPr>
              <w:spacing w:after="0"/>
              <w:jc w:val="center"/>
              <w:rPr>
                <w:rFonts w:ascii="Arial" w:hAnsi="Arial" w:cs="Arial"/>
              </w:rPr>
            </w:pPr>
            <w:r>
              <w:rPr>
                <w:rFonts w:ascii="Arial" w:hAnsi="Arial" w:cs="Arial"/>
                <w:b/>
                <w:bCs/>
                <w:color w:val="633806"/>
              </w:rPr>
              <w:t>Medium</w:t>
            </w:r>
          </w:p>
        </w:tc>
        <w:tc>
          <w:tcPr>
            <w:tcW w:w="1446" w:type="dxa"/>
            <w:tcBorders>
              <w:top w:val="single" w:sz="4" w:space="0" w:color="CFD3DB"/>
              <w:left w:val="single" w:sz="4" w:space="0" w:color="CFD3DB"/>
              <w:bottom w:val="single" w:sz="4" w:space="0" w:color="CFD3DB"/>
              <w:right w:val="single" w:sz="4" w:space="0" w:color="CFD3DB"/>
            </w:tcBorders>
            <w:shd w:val="clear" w:color="auto" w:fill="F5C4B3"/>
            <w:tcMar>
              <w:top w:w="80" w:type="dxa"/>
              <w:left w:w="120" w:type="dxa"/>
              <w:bottom w:w="80" w:type="dxa"/>
              <w:right w:w="120" w:type="dxa"/>
            </w:tcMar>
            <w:vAlign w:val="center"/>
          </w:tcPr>
          <w:p w14:paraId="20310E8F" w14:textId="77777777" w:rsidR="001E3DEE" w:rsidRPr="00E70260" w:rsidRDefault="001E3DEE" w:rsidP="00D341E0">
            <w:pPr>
              <w:spacing w:after="0"/>
              <w:jc w:val="center"/>
              <w:rPr>
                <w:rFonts w:ascii="Arial" w:hAnsi="Arial" w:cs="Arial"/>
              </w:rPr>
            </w:pPr>
            <w:r>
              <w:rPr>
                <w:rFonts w:ascii="Arial" w:hAnsi="Arial" w:cs="Arial"/>
                <w:b/>
                <w:bCs/>
                <w:color w:val="4A1B0C"/>
              </w:rPr>
              <w:t>High</w:t>
            </w:r>
          </w:p>
        </w:tc>
        <w:tc>
          <w:tcPr>
            <w:tcW w:w="1446" w:type="dxa"/>
            <w:tcBorders>
              <w:top w:val="single" w:sz="4" w:space="0" w:color="CFD3DB"/>
              <w:left w:val="single" w:sz="4" w:space="0" w:color="CFD3DB"/>
              <w:bottom w:val="single" w:sz="4" w:space="0" w:color="CFD3DB"/>
              <w:right w:val="single" w:sz="4" w:space="0" w:color="CFD3DB"/>
            </w:tcBorders>
            <w:shd w:val="clear" w:color="auto" w:fill="F5C4B3"/>
            <w:tcMar>
              <w:top w:w="80" w:type="dxa"/>
              <w:left w:w="120" w:type="dxa"/>
              <w:bottom w:w="80" w:type="dxa"/>
              <w:right w:w="120" w:type="dxa"/>
            </w:tcMar>
            <w:vAlign w:val="center"/>
          </w:tcPr>
          <w:p w14:paraId="15084B49" w14:textId="77777777" w:rsidR="001E3DEE" w:rsidRPr="00E70260" w:rsidRDefault="001E3DEE" w:rsidP="00D341E0">
            <w:pPr>
              <w:spacing w:after="0"/>
              <w:jc w:val="center"/>
              <w:rPr>
                <w:rFonts w:ascii="Arial" w:hAnsi="Arial" w:cs="Arial"/>
              </w:rPr>
            </w:pPr>
            <w:r>
              <w:rPr>
                <w:rFonts w:ascii="Arial" w:hAnsi="Arial" w:cs="Arial"/>
                <w:b/>
                <w:bCs/>
                <w:color w:val="4A1B0C"/>
              </w:rPr>
              <w:t>High</w:t>
            </w:r>
          </w:p>
        </w:tc>
      </w:tr>
      <w:tr w:rsidR="001E3DEE" w:rsidRPr="00E70260" w14:paraId="57D4FE49" w14:textId="77777777" w:rsidTr="00D341E0">
        <w:trPr>
          <w:trHeight w:val="303"/>
        </w:trPr>
        <w:tc>
          <w:tcPr>
            <w:tcW w:w="1823"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0C6A277C" w14:textId="77777777" w:rsidR="001E3DEE" w:rsidRPr="00E70260" w:rsidRDefault="001E3DEE" w:rsidP="00D341E0">
            <w:pPr>
              <w:spacing w:after="0"/>
              <w:rPr>
                <w:rFonts w:ascii="Arial" w:hAnsi="Arial" w:cs="Arial"/>
              </w:rPr>
            </w:pPr>
            <w:r>
              <w:rPr>
                <w:rFonts w:ascii="Arial" w:hAnsi="Arial" w:cs="Arial"/>
                <w:b/>
                <w:bCs/>
                <w:color w:val="212121"/>
              </w:rPr>
              <w:t>Rare</w:t>
            </w:r>
          </w:p>
        </w:tc>
        <w:tc>
          <w:tcPr>
            <w:tcW w:w="1446" w:type="dxa"/>
            <w:tcBorders>
              <w:top w:val="single" w:sz="4" w:space="0" w:color="CFD3DB"/>
              <w:left w:val="single" w:sz="4" w:space="0" w:color="CFD3DB"/>
              <w:bottom w:val="single" w:sz="4" w:space="0" w:color="CFD3DB"/>
              <w:right w:val="single" w:sz="4" w:space="0" w:color="CFD3DB"/>
            </w:tcBorders>
            <w:shd w:val="clear" w:color="auto" w:fill="EAF3DE"/>
            <w:tcMar>
              <w:top w:w="80" w:type="dxa"/>
              <w:left w:w="120" w:type="dxa"/>
              <w:bottom w:w="80" w:type="dxa"/>
              <w:right w:w="120" w:type="dxa"/>
            </w:tcMar>
            <w:vAlign w:val="center"/>
          </w:tcPr>
          <w:p w14:paraId="5F797E9C" w14:textId="77777777" w:rsidR="001E3DEE" w:rsidRPr="00E70260" w:rsidRDefault="001E3DEE" w:rsidP="00D341E0">
            <w:pPr>
              <w:spacing w:after="0"/>
              <w:jc w:val="center"/>
              <w:rPr>
                <w:rFonts w:ascii="Arial" w:hAnsi="Arial" w:cs="Arial"/>
              </w:rPr>
            </w:pPr>
            <w:r>
              <w:rPr>
                <w:rFonts w:ascii="Arial" w:hAnsi="Arial" w:cs="Arial"/>
                <w:b/>
                <w:bCs/>
                <w:color w:val="27500A"/>
              </w:rPr>
              <w:t>Low</w:t>
            </w:r>
          </w:p>
        </w:tc>
        <w:tc>
          <w:tcPr>
            <w:tcW w:w="1446" w:type="dxa"/>
            <w:tcBorders>
              <w:top w:val="single" w:sz="4" w:space="0" w:color="CFD3DB"/>
              <w:left w:val="single" w:sz="4" w:space="0" w:color="CFD3DB"/>
              <w:bottom w:val="single" w:sz="4" w:space="0" w:color="CFD3DB"/>
              <w:right w:val="single" w:sz="4" w:space="0" w:color="CFD3DB"/>
            </w:tcBorders>
            <w:shd w:val="clear" w:color="auto" w:fill="EAF3DE"/>
            <w:tcMar>
              <w:top w:w="80" w:type="dxa"/>
              <w:left w:w="120" w:type="dxa"/>
              <w:bottom w:w="80" w:type="dxa"/>
              <w:right w:w="120" w:type="dxa"/>
            </w:tcMar>
            <w:vAlign w:val="center"/>
          </w:tcPr>
          <w:p w14:paraId="52FB1A36" w14:textId="77777777" w:rsidR="001E3DEE" w:rsidRPr="00E70260" w:rsidRDefault="001E3DEE" w:rsidP="00D341E0">
            <w:pPr>
              <w:spacing w:after="0"/>
              <w:jc w:val="center"/>
              <w:rPr>
                <w:rFonts w:ascii="Arial" w:hAnsi="Arial" w:cs="Arial"/>
              </w:rPr>
            </w:pPr>
            <w:r>
              <w:rPr>
                <w:rFonts w:ascii="Arial" w:hAnsi="Arial" w:cs="Arial"/>
                <w:b/>
                <w:bCs/>
                <w:color w:val="27500A"/>
              </w:rPr>
              <w:t>Low</w:t>
            </w:r>
          </w:p>
        </w:tc>
        <w:tc>
          <w:tcPr>
            <w:tcW w:w="1446" w:type="dxa"/>
            <w:tcBorders>
              <w:top w:val="single" w:sz="4" w:space="0" w:color="CFD3DB"/>
              <w:left w:val="single" w:sz="4" w:space="0" w:color="CFD3DB"/>
              <w:bottom w:val="single" w:sz="4" w:space="0" w:color="CFD3DB"/>
              <w:right w:val="single" w:sz="4" w:space="0" w:color="CFD3DB"/>
            </w:tcBorders>
            <w:shd w:val="clear" w:color="auto" w:fill="FAEEDA"/>
            <w:tcMar>
              <w:top w:w="80" w:type="dxa"/>
              <w:left w:w="120" w:type="dxa"/>
              <w:bottom w:w="80" w:type="dxa"/>
              <w:right w:w="120" w:type="dxa"/>
            </w:tcMar>
            <w:vAlign w:val="center"/>
          </w:tcPr>
          <w:p w14:paraId="062966E8" w14:textId="77777777" w:rsidR="001E3DEE" w:rsidRPr="00E70260" w:rsidRDefault="001E3DEE" w:rsidP="00D341E0">
            <w:pPr>
              <w:spacing w:after="0"/>
              <w:jc w:val="center"/>
              <w:rPr>
                <w:rFonts w:ascii="Arial" w:hAnsi="Arial" w:cs="Arial"/>
              </w:rPr>
            </w:pPr>
            <w:r>
              <w:rPr>
                <w:rFonts w:ascii="Arial" w:hAnsi="Arial" w:cs="Arial"/>
                <w:b/>
                <w:bCs/>
                <w:color w:val="633806"/>
              </w:rPr>
              <w:t>Medium</w:t>
            </w:r>
          </w:p>
        </w:tc>
        <w:tc>
          <w:tcPr>
            <w:tcW w:w="1446" w:type="dxa"/>
            <w:tcBorders>
              <w:top w:val="single" w:sz="4" w:space="0" w:color="CFD3DB"/>
              <w:left w:val="single" w:sz="4" w:space="0" w:color="CFD3DB"/>
              <w:bottom w:val="single" w:sz="4" w:space="0" w:color="CFD3DB"/>
              <w:right w:val="single" w:sz="4" w:space="0" w:color="CFD3DB"/>
            </w:tcBorders>
            <w:shd w:val="clear" w:color="auto" w:fill="FAEEDA"/>
            <w:tcMar>
              <w:top w:w="80" w:type="dxa"/>
              <w:left w:w="120" w:type="dxa"/>
              <w:bottom w:w="80" w:type="dxa"/>
              <w:right w:w="120" w:type="dxa"/>
            </w:tcMar>
            <w:vAlign w:val="center"/>
          </w:tcPr>
          <w:p w14:paraId="7D5D8B39" w14:textId="77777777" w:rsidR="001E3DEE" w:rsidRPr="00E70260" w:rsidRDefault="001E3DEE" w:rsidP="00D341E0">
            <w:pPr>
              <w:spacing w:after="0"/>
              <w:jc w:val="center"/>
              <w:rPr>
                <w:rFonts w:ascii="Arial" w:hAnsi="Arial" w:cs="Arial"/>
              </w:rPr>
            </w:pPr>
            <w:r>
              <w:rPr>
                <w:rFonts w:ascii="Arial" w:hAnsi="Arial" w:cs="Arial"/>
                <w:b/>
                <w:bCs/>
                <w:color w:val="633806"/>
              </w:rPr>
              <w:t>Medium</w:t>
            </w:r>
          </w:p>
        </w:tc>
        <w:tc>
          <w:tcPr>
            <w:tcW w:w="1446" w:type="dxa"/>
            <w:tcBorders>
              <w:top w:val="single" w:sz="4" w:space="0" w:color="CFD3DB"/>
              <w:left w:val="single" w:sz="4" w:space="0" w:color="CFD3DB"/>
              <w:bottom w:val="single" w:sz="4" w:space="0" w:color="CFD3DB"/>
              <w:right w:val="single" w:sz="4" w:space="0" w:color="CFD3DB"/>
            </w:tcBorders>
            <w:shd w:val="clear" w:color="auto" w:fill="F5C4B3"/>
            <w:tcMar>
              <w:top w:w="80" w:type="dxa"/>
              <w:left w:w="120" w:type="dxa"/>
              <w:bottom w:w="80" w:type="dxa"/>
              <w:right w:w="120" w:type="dxa"/>
            </w:tcMar>
            <w:vAlign w:val="center"/>
          </w:tcPr>
          <w:p w14:paraId="08B30BB6" w14:textId="77777777" w:rsidR="001E3DEE" w:rsidRPr="00E70260" w:rsidRDefault="001E3DEE" w:rsidP="00D341E0">
            <w:pPr>
              <w:spacing w:after="0"/>
              <w:jc w:val="center"/>
              <w:rPr>
                <w:rFonts w:ascii="Arial" w:hAnsi="Arial" w:cs="Arial"/>
              </w:rPr>
            </w:pPr>
            <w:r>
              <w:rPr>
                <w:rFonts w:ascii="Arial" w:hAnsi="Arial" w:cs="Arial"/>
                <w:b/>
                <w:bCs/>
                <w:color w:val="4A1B0C"/>
              </w:rPr>
              <w:t>High</w:t>
            </w:r>
          </w:p>
        </w:tc>
      </w:tr>
    </w:tbl>
    <w:p w14:paraId="212C2710" w14:textId="77777777" w:rsidR="001E3DEE" w:rsidRPr="00D95902" w:rsidRDefault="001E3DEE" w:rsidP="001E3DEE">
      <w:pPr>
        <w:pStyle w:val="Heading2"/>
        <w:spacing w:before="240" w:after="120"/>
        <w:rPr>
          <w:rFonts w:ascii="Arial" w:hAnsi="Arial" w:cs="Arial"/>
          <w:color w:val="001441" w:themeColor="text1"/>
        </w:rPr>
      </w:pPr>
      <w:bookmarkStart w:id="244" w:name="_Toc238474914"/>
      <w:bookmarkStart w:id="245" w:name="_Toc238475827"/>
      <w:bookmarkStart w:id="246" w:name="_Toc238562145"/>
      <w:bookmarkStart w:id="247" w:name="_Toc239257328"/>
      <w:bookmarkStart w:id="248" w:name="_Toc239257431"/>
      <w:bookmarkStart w:id="249" w:name="_Toc239257532"/>
      <w:bookmarkStart w:id="250" w:name="_Toc240894369"/>
      <w:bookmarkStart w:id="251" w:name="_Toc240897427"/>
      <w:bookmarkStart w:id="252" w:name="_Toc240897580"/>
      <w:bookmarkStart w:id="253" w:name="_Toc240956398"/>
      <w:r w:rsidRPr="00D95902">
        <w:rPr>
          <w:rFonts w:ascii="Arial" w:hAnsi="Arial" w:cs="Arial"/>
          <w:color w:val="001441" w:themeColor="text1"/>
        </w:rPr>
        <w:t>Consequence definitions for AI risks</w:t>
      </w:r>
      <w:bookmarkEnd w:id="244"/>
      <w:bookmarkEnd w:id="245"/>
      <w:bookmarkEnd w:id="246"/>
      <w:bookmarkEnd w:id="247"/>
      <w:bookmarkEnd w:id="248"/>
      <w:bookmarkEnd w:id="249"/>
      <w:bookmarkEnd w:id="250"/>
      <w:bookmarkEnd w:id="251"/>
      <w:bookmarkEnd w:id="252"/>
      <w:bookmarkEnd w:id="253"/>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316"/>
      </w:tblGrid>
      <w:tr w:rsidR="001E3DEE" w:rsidRPr="00E70260" w14:paraId="1BF85AD6" w14:textId="77777777" w:rsidTr="00DC543A">
        <w:tc>
          <w:tcPr>
            <w:tcW w:w="1700"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35E363E9" w14:textId="77777777" w:rsidR="001E3DEE" w:rsidRPr="00E70260" w:rsidRDefault="001E3DEE" w:rsidP="00DC543A">
            <w:pPr>
              <w:rPr>
                <w:rFonts w:ascii="Arial" w:hAnsi="Arial" w:cs="Arial"/>
              </w:rPr>
            </w:pPr>
            <w:r>
              <w:rPr>
                <w:rFonts w:ascii="Arial" w:hAnsi="Arial" w:cs="Arial"/>
                <w:b/>
                <w:bCs/>
                <w:color w:val="212121"/>
              </w:rPr>
              <w:t>Negligible</w:t>
            </w:r>
          </w:p>
        </w:tc>
        <w:tc>
          <w:tcPr>
            <w:tcW w:w="7316"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6F7CA5FA" w14:textId="177A4E3F" w:rsidR="001E3DEE" w:rsidRPr="00E70260" w:rsidRDefault="001E3DEE" w:rsidP="00DC543A">
            <w:pPr>
              <w:rPr>
                <w:rFonts w:ascii="Arial" w:hAnsi="Arial" w:cs="Arial"/>
              </w:rPr>
            </w:pPr>
            <w:r>
              <w:rPr>
                <w:rFonts w:ascii="Arial" w:hAnsi="Arial" w:cs="Arial"/>
                <w:color w:val="212121"/>
              </w:rPr>
              <w:t xml:space="preserve">No patient </w:t>
            </w:r>
            <w:r w:rsidR="00A81117">
              <w:rPr>
                <w:rFonts w:ascii="Arial" w:hAnsi="Arial" w:cs="Arial"/>
                <w:color w:val="212121"/>
              </w:rPr>
              <w:t>impacts</w:t>
            </w:r>
            <w:r>
              <w:rPr>
                <w:rFonts w:ascii="Arial" w:hAnsi="Arial" w:cs="Arial"/>
                <w:color w:val="212121"/>
              </w:rPr>
              <w:t>. Output corrected before any use. No cultural or data handling concern.</w:t>
            </w:r>
          </w:p>
        </w:tc>
      </w:tr>
      <w:tr w:rsidR="001E3DEE" w:rsidRPr="00E70260" w14:paraId="220D39EC" w14:textId="77777777" w:rsidTr="00DC543A">
        <w:tc>
          <w:tcPr>
            <w:tcW w:w="1700"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21C196B1" w14:textId="77777777" w:rsidR="001E3DEE" w:rsidRPr="00E70260" w:rsidRDefault="001E3DEE" w:rsidP="00DC543A">
            <w:pPr>
              <w:rPr>
                <w:rFonts w:ascii="Arial" w:hAnsi="Arial" w:cs="Arial"/>
              </w:rPr>
            </w:pPr>
            <w:r>
              <w:rPr>
                <w:rFonts w:ascii="Arial" w:hAnsi="Arial" w:cs="Arial"/>
                <w:b/>
                <w:bCs/>
                <w:color w:val="212121"/>
              </w:rPr>
              <w:t>Minor</w:t>
            </w:r>
          </w:p>
        </w:tc>
        <w:tc>
          <w:tcPr>
            <w:tcW w:w="7316"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1ABEBAB4" w14:textId="77777777" w:rsidR="001E3DEE" w:rsidRPr="00E70260" w:rsidRDefault="001E3DEE" w:rsidP="00DC543A">
            <w:pPr>
              <w:rPr>
                <w:rFonts w:ascii="Arial" w:hAnsi="Arial" w:cs="Arial"/>
              </w:rPr>
            </w:pPr>
            <w:r>
              <w:rPr>
                <w:rFonts w:ascii="Arial" w:hAnsi="Arial" w:cs="Arial"/>
                <w:color w:val="212121"/>
              </w:rPr>
              <w:t>Inconvenience or minor error caught by human review. Isolated culturally inappropriate output, corrected and acknowledged. No data leaves approved systems.</w:t>
            </w:r>
          </w:p>
        </w:tc>
      </w:tr>
      <w:tr w:rsidR="001E3DEE" w:rsidRPr="00E70260" w14:paraId="38DA38A1" w14:textId="77777777" w:rsidTr="00DC543A">
        <w:tc>
          <w:tcPr>
            <w:tcW w:w="1700"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7073E4DA" w14:textId="77777777" w:rsidR="001E3DEE" w:rsidRPr="00E70260" w:rsidRDefault="001E3DEE" w:rsidP="00DC543A">
            <w:pPr>
              <w:rPr>
                <w:rFonts w:ascii="Arial" w:hAnsi="Arial" w:cs="Arial"/>
              </w:rPr>
            </w:pPr>
            <w:r>
              <w:rPr>
                <w:rFonts w:ascii="Arial" w:hAnsi="Arial" w:cs="Arial"/>
                <w:b/>
                <w:bCs/>
                <w:color w:val="212121"/>
              </w:rPr>
              <w:t>Moderate</w:t>
            </w:r>
          </w:p>
        </w:tc>
        <w:tc>
          <w:tcPr>
            <w:tcW w:w="7316"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291F8265" w14:textId="77777777" w:rsidR="001E3DEE" w:rsidRPr="00E70260" w:rsidRDefault="001E3DEE" w:rsidP="00DC543A">
            <w:pPr>
              <w:rPr>
                <w:rFonts w:ascii="Arial" w:hAnsi="Arial" w:cs="Arial"/>
              </w:rPr>
            </w:pPr>
            <w:r>
              <w:rPr>
                <w:rFonts w:ascii="Arial" w:hAnsi="Arial" w:cs="Arial"/>
                <w:color w:val="212121"/>
              </w:rPr>
              <w:t>Error reaches the patient record or a patient interaction without harm. Culturally unsafe output affecting an individual patient's care experience. Patient data handled outside approved arrangements without external disclosure.</w:t>
            </w:r>
          </w:p>
        </w:tc>
      </w:tr>
      <w:tr w:rsidR="001E3DEE" w:rsidRPr="00E70260" w14:paraId="1B7B51F0" w14:textId="77777777" w:rsidTr="00DC543A">
        <w:tc>
          <w:tcPr>
            <w:tcW w:w="1700"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26BB4D75" w14:textId="77777777" w:rsidR="001E3DEE" w:rsidRPr="00E70260" w:rsidRDefault="001E3DEE" w:rsidP="00DC543A">
            <w:pPr>
              <w:rPr>
                <w:rFonts w:ascii="Arial" w:hAnsi="Arial" w:cs="Arial"/>
              </w:rPr>
            </w:pPr>
            <w:r>
              <w:rPr>
                <w:rFonts w:ascii="Arial" w:hAnsi="Arial" w:cs="Arial"/>
                <w:b/>
                <w:bCs/>
                <w:color w:val="212121"/>
              </w:rPr>
              <w:t>Major</w:t>
            </w:r>
          </w:p>
        </w:tc>
        <w:tc>
          <w:tcPr>
            <w:tcW w:w="7316"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7A975A97" w14:textId="77777777" w:rsidR="001E3DEE" w:rsidRPr="00E70260" w:rsidRDefault="001E3DEE" w:rsidP="00DC543A">
            <w:pPr>
              <w:rPr>
                <w:rFonts w:ascii="Arial" w:hAnsi="Arial" w:cs="Arial"/>
              </w:rPr>
            </w:pPr>
            <w:r>
              <w:rPr>
                <w:rFonts w:ascii="Arial" w:hAnsi="Arial" w:cs="Arial"/>
                <w:color w:val="212121"/>
              </w:rPr>
              <w:t>Patient harm requiring treatment or escalation. A pattern of culturally unsafe outputs. Identifiable patient data disclosed externally, or a breach of Indigenous Data Sovereignty obligations affecting individuals.</w:t>
            </w:r>
          </w:p>
        </w:tc>
      </w:tr>
      <w:tr w:rsidR="001E3DEE" w:rsidRPr="00E70260" w14:paraId="305DDFDA" w14:textId="77777777" w:rsidTr="00DC543A">
        <w:tc>
          <w:tcPr>
            <w:tcW w:w="1700"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65031A0F" w14:textId="77777777" w:rsidR="001E3DEE" w:rsidRPr="00E70260" w:rsidRDefault="001E3DEE" w:rsidP="00DC543A">
            <w:pPr>
              <w:rPr>
                <w:rFonts w:ascii="Arial" w:hAnsi="Arial" w:cs="Arial"/>
              </w:rPr>
            </w:pPr>
            <w:r>
              <w:rPr>
                <w:rFonts w:ascii="Arial" w:hAnsi="Arial" w:cs="Arial"/>
                <w:b/>
                <w:bCs/>
                <w:color w:val="212121"/>
              </w:rPr>
              <w:t>Severe</w:t>
            </w:r>
          </w:p>
        </w:tc>
        <w:tc>
          <w:tcPr>
            <w:tcW w:w="7316" w:type="dxa"/>
            <w:tcBorders>
              <w:top w:val="single" w:sz="4" w:space="0" w:color="CFD3DB"/>
              <w:left w:val="single" w:sz="4" w:space="0" w:color="CFD3DB"/>
              <w:bottom w:val="single" w:sz="4" w:space="0" w:color="CFD3DB"/>
              <w:right w:val="single" w:sz="4" w:space="0" w:color="CFD3DB"/>
            </w:tcBorders>
            <w:tcMar>
              <w:top w:w="80" w:type="dxa"/>
              <w:left w:w="120" w:type="dxa"/>
              <w:bottom w:w="80" w:type="dxa"/>
              <w:right w:w="120" w:type="dxa"/>
            </w:tcMar>
            <w:vAlign w:val="center"/>
          </w:tcPr>
          <w:p w14:paraId="430BA24B" w14:textId="77777777" w:rsidR="001E3DEE" w:rsidRPr="00E70260" w:rsidRDefault="001E3DEE" w:rsidP="00DC543A">
            <w:pPr>
              <w:rPr>
                <w:rFonts w:ascii="Arial" w:hAnsi="Arial" w:cs="Arial"/>
              </w:rPr>
            </w:pPr>
            <w:r>
              <w:rPr>
                <w:rFonts w:ascii="Arial" w:hAnsi="Arial" w:cs="Arial"/>
                <w:color w:val="212121"/>
              </w:rPr>
              <w:t>Death or serious harm to a patient. Community-level cultural harm or loss of community trust in the Organisation. A sovereignty or data breach affecting community-level data, including unauthorised reuse for model training.</w:t>
            </w:r>
          </w:p>
        </w:tc>
      </w:tr>
    </w:tbl>
    <w:p w14:paraId="1C618869" w14:textId="77777777" w:rsidR="001E3DEE" w:rsidRPr="00D95902" w:rsidRDefault="001E3DEE" w:rsidP="001E3DEE">
      <w:pPr>
        <w:pStyle w:val="Heading2"/>
        <w:spacing w:before="240" w:after="120"/>
        <w:rPr>
          <w:rFonts w:ascii="Arial" w:hAnsi="Arial" w:cs="Arial"/>
          <w:color w:val="001441" w:themeColor="text1"/>
        </w:rPr>
      </w:pPr>
      <w:bookmarkStart w:id="254" w:name="_Toc238474915"/>
      <w:bookmarkStart w:id="255" w:name="_Toc238475828"/>
      <w:bookmarkStart w:id="256" w:name="_Toc238562146"/>
      <w:bookmarkStart w:id="257" w:name="_Toc239257329"/>
      <w:bookmarkStart w:id="258" w:name="_Toc239257432"/>
      <w:bookmarkStart w:id="259" w:name="_Toc239257533"/>
      <w:bookmarkStart w:id="260" w:name="_Toc240894370"/>
      <w:bookmarkStart w:id="261" w:name="_Toc240897428"/>
      <w:bookmarkStart w:id="262" w:name="_Toc240897581"/>
      <w:bookmarkStart w:id="263" w:name="_Toc240956399"/>
      <w:r w:rsidRPr="00D95902">
        <w:rPr>
          <w:rFonts w:ascii="Arial" w:hAnsi="Arial" w:cs="Arial"/>
          <w:color w:val="001441" w:themeColor="text1"/>
        </w:rPr>
        <w:t>Suggested response thresholds</w:t>
      </w:r>
      <w:bookmarkEnd w:id="254"/>
      <w:bookmarkEnd w:id="255"/>
      <w:bookmarkEnd w:id="256"/>
      <w:bookmarkEnd w:id="257"/>
      <w:bookmarkEnd w:id="258"/>
      <w:bookmarkEnd w:id="259"/>
      <w:bookmarkEnd w:id="260"/>
      <w:bookmarkEnd w:id="261"/>
      <w:bookmarkEnd w:id="262"/>
      <w:bookmarkEnd w:id="263"/>
    </w:p>
    <w:p w14:paraId="31C51933" w14:textId="34B30BA9" w:rsidR="001E3DEE" w:rsidRDefault="001E3DEE" w:rsidP="0027270C">
      <w:pPr>
        <w:pStyle w:val="NACCHOtext"/>
      </w:pPr>
      <w:r>
        <w:t xml:space="preserve">Any risk rated High or Extreme is reported to the AI Governance Committee, and the tool's use is suspended pending review where the rating involves potential patient harm, a culturally unsafe output, or a data handling breach, consistent with the Acceptable Use of AI Policy. Extreme ratings are escalated to the </w:t>
      </w:r>
      <w:r w:rsidR="0027270C">
        <w:t>Board,</w:t>
      </w:r>
      <w:r>
        <w:t xml:space="preserve"> and findings reach community and clinical governance committees in a culturally safe way.</w:t>
      </w:r>
    </w:p>
    <w:p w14:paraId="78AC9526" w14:textId="77777777" w:rsidR="00063E9F" w:rsidRDefault="00063E9F" w:rsidP="00B013E1"/>
    <w:p w14:paraId="25ECD036" w14:textId="77777777" w:rsidR="00C477D4" w:rsidRPr="000D2035" w:rsidRDefault="00C477D4" w:rsidP="00C477D4">
      <w:pPr>
        <w:pStyle w:val="Heading1"/>
        <w:spacing w:after="120"/>
        <w:rPr>
          <w:rFonts w:ascii="Arial" w:hAnsi="Arial" w:cs="Arial"/>
          <w:color w:val="002060"/>
        </w:rPr>
      </w:pPr>
      <w:bookmarkStart w:id="264" w:name="_Toc238474916"/>
      <w:bookmarkStart w:id="265" w:name="_Toc238475829"/>
      <w:bookmarkStart w:id="266" w:name="_Toc238562147"/>
      <w:bookmarkStart w:id="267" w:name="_Toc239257330"/>
      <w:bookmarkStart w:id="268" w:name="_Toc239257433"/>
      <w:bookmarkStart w:id="269" w:name="_Toc239257534"/>
      <w:bookmarkStart w:id="270" w:name="_Toc240894371"/>
      <w:bookmarkStart w:id="271" w:name="_Toc240897582"/>
      <w:bookmarkStart w:id="272" w:name="_Toc240956400"/>
      <w:bookmarkStart w:id="273" w:name="_Toc240956437"/>
      <w:bookmarkStart w:id="274" w:name="_Toc240960035"/>
      <w:r>
        <w:rPr>
          <w:rFonts w:ascii="Arial" w:hAnsi="Arial" w:cs="Arial"/>
          <w:color w:val="002060"/>
        </w:rPr>
        <w:lastRenderedPageBreak/>
        <w:t>Glossary of terms</w:t>
      </w:r>
      <w:bookmarkEnd w:id="264"/>
      <w:bookmarkEnd w:id="265"/>
      <w:bookmarkEnd w:id="266"/>
      <w:bookmarkEnd w:id="267"/>
      <w:bookmarkEnd w:id="268"/>
      <w:bookmarkEnd w:id="269"/>
      <w:bookmarkEnd w:id="270"/>
      <w:bookmarkEnd w:id="271"/>
      <w:bookmarkEnd w:id="272"/>
      <w:bookmarkEnd w:id="273"/>
      <w:bookmarkEnd w:id="274"/>
    </w:p>
    <w:p w14:paraId="08FC5E8B" w14:textId="77777777" w:rsidR="00C477D4" w:rsidRDefault="00C477D4" w:rsidP="00C477D4">
      <w:pPr>
        <w:spacing w:after="100" w:line="300" w:lineRule="auto"/>
        <w:rPr>
          <w:rFonts w:ascii="Arial" w:hAnsi="Arial" w:cs="Arial"/>
        </w:rPr>
      </w:pPr>
      <w:r>
        <w:rPr>
          <w:rFonts w:ascii="Arial" w:hAnsi="Arial" w:cs="Arial"/>
          <w:b/>
          <w:bCs/>
        </w:rPr>
        <w:t xml:space="preserve">Agentic AI: </w:t>
      </w:r>
      <w:r>
        <w:rPr>
          <w:rFonts w:ascii="Arial" w:hAnsi="Arial" w:cs="Arial"/>
        </w:rPr>
        <w:t>AI that can plan and carry out multi-step tasks with limited human direction, such as booking, triaging or actioning requests, rather than only responding to a single prompt.</w:t>
      </w:r>
    </w:p>
    <w:p w14:paraId="54C3B371" w14:textId="77777777" w:rsidR="00C477D4" w:rsidRDefault="00C477D4" w:rsidP="00C477D4">
      <w:pPr>
        <w:spacing w:after="100" w:line="300" w:lineRule="auto"/>
        <w:rPr>
          <w:rFonts w:ascii="Arial" w:hAnsi="Arial" w:cs="Arial"/>
        </w:rPr>
      </w:pPr>
      <w:r>
        <w:rPr>
          <w:rFonts w:ascii="Arial" w:hAnsi="Arial" w:cs="Arial"/>
          <w:b/>
          <w:bCs/>
        </w:rPr>
        <w:t xml:space="preserve">AI tool: </w:t>
      </w:r>
      <w:r>
        <w:rPr>
          <w:rFonts w:ascii="Arial" w:hAnsi="Arial" w:cs="Arial"/>
        </w:rPr>
        <w:t>Any software, model, application or service that uses artificial intelligence, including AI features embedded in existing platforms such as a clinical information system.</w:t>
      </w:r>
    </w:p>
    <w:p w14:paraId="72C7D1AF" w14:textId="77777777" w:rsidR="00C477D4" w:rsidRDefault="00C477D4" w:rsidP="00C477D4">
      <w:pPr>
        <w:spacing w:after="100" w:line="300" w:lineRule="auto"/>
        <w:rPr>
          <w:rFonts w:ascii="Arial" w:hAnsi="Arial" w:cs="Arial"/>
        </w:rPr>
      </w:pPr>
      <w:r>
        <w:rPr>
          <w:rFonts w:ascii="Arial" w:hAnsi="Arial" w:cs="Arial"/>
          <w:b/>
          <w:bCs/>
        </w:rPr>
        <w:t xml:space="preserve">Ambient Voice Technology (AI scribe): </w:t>
      </w:r>
      <w:r>
        <w:rPr>
          <w:rFonts w:ascii="Arial" w:hAnsi="Arial" w:cs="Arial"/>
        </w:rPr>
        <w:t>An AI tool that listens to a consultation and drafts clinical notes for clinician review.</w:t>
      </w:r>
    </w:p>
    <w:p w14:paraId="76C42C65" w14:textId="77777777" w:rsidR="00C477D4" w:rsidRDefault="00C477D4" w:rsidP="00C477D4">
      <w:pPr>
        <w:spacing w:after="100" w:line="300" w:lineRule="auto"/>
        <w:rPr>
          <w:rFonts w:ascii="Arial" w:hAnsi="Arial" w:cs="Arial"/>
        </w:rPr>
      </w:pPr>
      <w:r>
        <w:rPr>
          <w:rFonts w:ascii="Arial" w:hAnsi="Arial" w:cs="Arial"/>
          <w:b/>
          <w:bCs/>
        </w:rPr>
        <w:t xml:space="preserve">Clinical decision support: </w:t>
      </w:r>
      <w:r>
        <w:rPr>
          <w:rFonts w:ascii="Arial" w:hAnsi="Arial" w:cs="Arial"/>
        </w:rPr>
        <w:t>Software that provides prompts, alerts or recommendations to inform clinical decisions. The clinician remains accountable for the decision.</w:t>
      </w:r>
    </w:p>
    <w:p w14:paraId="5EE8086A" w14:textId="77777777" w:rsidR="00C477D4" w:rsidRDefault="00C477D4" w:rsidP="00C477D4">
      <w:pPr>
        <w:spacing w:after="100" w:line="300" w:lineRule="auto"/>
        <w:rPr>
          <w:rFonts w:ascii="Arial" w:hAnsi="Arial" w:cs="Arial"/>
        </w:rPr>
      </w:pPr>
      <w:r>
        <w:rPr>
          <w:rFonts w:ascii="Arial" w:hAnsi="Arial" w:cs="Arial"/>
          <w:b/>
          <w:bCs/>
        </w:rPr>
        <w:t xml:space="preserve">Clinical information system (CIS): </w:t>
      </w:r>
      <w:r>
        <w:rPr>
          <w:rFonts w:ascii="Arial" w:hAnsi="Arial" w:cs="Arial"/>
        </w:rPr>
        <w:t>The software an ACCHO uses to hold patient records and manage care.</w:t>
      </w:r>
    </w:p>
    <w:p w14:paraId="0697AFBD" w14:textId="77777777" w:rsidR="00C477D4" w:rsidRDefault="00C477D4" w:rsidP="00C477D4">
      <w:pPr>
        <w:spacing w:after="100" w:line="300" w:lineRule="auto"/>
        <w:rPr>
          <w:rFonts w:ascii="Arial" w:hAnsi="Arial" w:cs="Arial"/>
        </w:rPr>
      </w:pPr>
      <w:r>
        <w:rPr>
          <w:rFonts w:ascii="Arial" w:hAnsi="Arial" w:cs="Arial"/>
          <w:b/>
          <w:bCs/>
        </w:rPr>
        <w:t xml:space="preserve">Hallucination: </w:t>
      </w:r>
      <w:r>
        <w:rPr>
          <w:rFonts w:ascii="Arial" w:hAnsi="Arial" w:cs="Arial"/>
        </w:rPr>
        <w:t>Output from an AI tool that reads as confident and factual but is wrong, fabricated, or cites sources that do not exist.</w:t>
      </w:r>
    </w:p>
    <w:p w14:paraId="043DA85A" w14:textId="77777777" w:rsidR="00C477D4" w:rsidRDefault="00C477D4" w:rsidP="00C477D4">
      <w:pPr>
        <w:spacing w:after="100" w:line="300" w:lineRule="auto"/>
        <w:rPr>
          <w:rFonts w:ascii="Arial" w:hAnsi="Arial" w:cs="Arial"/>
        </w:rPr>
      </w:pPr>
      <w:r>
        <w:rPr>
          <w:rFonts w:ascii="Arial" w:hAnsi="Arial" w:cs="Arial"/>
          <w:b/>
          <w:bCs/>
        </w:rPr>
        <w:t xml:space="preserve">Indigenous Data Governance: </w:t>
      </w:r>
      <w:r>
        <w:rPr>
          <w:rFonts w:ascii="Arial" w:hAnsi="Arial" w:cs="Arial"/>
        </w:rPr>
        <w:t>The mechanisms by which Aboriginal and Torres Strait Islander communities control how data about them is collected, accessed, used and reused.</w:t>
      </w:r>
    </w:p>
    <w:p w14:paraId="4C702B22" w14:textId="77777777" w:rsidR="00C477D4" w:rsidRDefault="00C477D4" w:rsidP="00C477D4">
      <w:pPr>
        <w:spacing w:after="100" w:line="300" w:lineRule="auto"/>
        <w:rPr>
          <w:rFonts w:ascii="Arial" w:hAnsi="Arial" w:cs="Arial"/>
        </w:rPr>
      </w:pPr>
      <w:r>
        <w:rPr>
          <w:rFonts w:ascii="Arial" w:hAnsi="Arial" w:cs="Arial"/>
          <w:b/>
          <w:bCs/>
        </w:rPr>
        <w:t xml:space="preserve">Indigenous Data Sovereignty: </w:t>
      </w:r>
      <w:r>
        <w:rPr>
          <w:rFonts w:ascii="Arial" w:hAnsi="Arial" w:cs="Arial"/>
        </w:rPr>
        <w:t>The right of Aboriginal and Torres Strait Islander peoples to govern data about their peoples, communities and lands.</w:t>
      </w:r>
    </w:p>
    <w:p w14:paraId="0633982A" w14:textId="77777777" w:rsidR="00C477D4" w:rsidRDefault="00C477D4" w:rsidP="00C477D4">
      <w:pPr>
        <w:spacing w:after="100" w:line="300" w:lineRule="auto"/>
        <w:rPr>
          <w:rFonts w:ascii="Arial" w:hAnsi="Arial" w:cs="Arial"/>
        </w:rPr>
      </w:pPr>
      <w:r>
        <w:rPr>
          <w:rFonts w:ascii="Arial" w:hAnsi="Arial" w:cs="Arial"/>
          <w:b/>
          <w:bCs/>
        </w:rPr>
        <w:t xml:space="preserve">Model update: </w:t>
      </w:r>
      <w:r>
        <w:rPr>
          <w:rFonts w:ascii="Arial" w:hAnsi="Arial" w:cs="Arial"/>
        </w:rPr>
        <w:t>A vendor-initiated change to the AI model underlying a tool, which can change the tool’s behaviour without any visible change for the user.</w:t>
      </w:r>
    </w:p>
    <w:p w14:paraId="04612A73" w14:textId="77777777" w:rsidR="00C477D4" w:rsidRDefault="00C477D4" w:rsidP="00C477D4">
      <w:pPr>
        <w:spacing w:after="100" w:line="300" w:lineRule="auto"/>
        <w:rPr>
          <w:rFonts w:ascii="Arial" w:hAnsi="Arial" w:cs="Arial"/>
        </w:rPr>
      </w:pPr>
      <w:r>
        <w:rPr>
          <w:rFonts w:ascii="Arial" w:hAnsi="Arial" w:cs="Arial"/>
          <w:b/>
          <w:bCs/>
        </w:rPr>
        <w:t xml:space="preserve">Software as a Medical Device (SaMD) – </w:t>
      </w:r>
      <w:r>
        <w:rPr>
          <w:rFonts w:ascii="Arial" w:hAnsi="Arial" w:cs="Arial"/>
        </w:rPr>
        <w:t>Software intended for a medical purpose that meets the TGA threshold for regulation as a medical device.</w:t>
      </w:r>
    </w:p>
    <w:p w14:paraId="0CEAF849" w14:textId="1EA6312E" w:rsidR="00063E9F" w:rsidRDefault="00C477D4" w:rsidP="00C477D4">
      <w:pPr>
        <w:rPr>
          <w:rFonts w:ascii="Arial" w:hAnsi="Arial" w:cs="Arial"/>
        </w:rPr>
      </w:pPr>
      <w:r>
        <w:rPr>
          <w:rFonts w:ascii="Arial" w:hAnsi="Arial" w:cs="Arial"/>
          <w:b/>
          <w:bCs/>
        </w:rPr>
        <w:t xml:space="preserve">Training data: </w:t>
      </w:r>
      <w:r>
        <w:rPr>
          <w:rFonts w:ascii="Arial" w:hAnsi="Arial" w:cs="Arial"/>
        </w:rPr>
        <w:t>The data used to build an AI model. Its provenance, representativeness and consent basis determine much of a tool’s safety.</w:t>
      </w:r>
    </w:p>
    <w:p w14:paraId="7B89BCFE" w14:textId="77777777" w:rsidR="00F42E00" w:rsidRDefault="00F42E00" w:rsidP="00C477D4">
      <w:pPr>
        <w:rPr>
          <w:rFonts w:ascii="Arial" w:hAnsi="Arial" w:cs="Arial"/>
        </w:rPr>
      </w:pPr>
    </w:p>
    <w:p w14:paraId="67E5983D" w14:textId="77777777" w:rsidR="00F42E00" w:rsidRPr="000D2035" w:rsidRDefault="00F42E00" w:rsidP="00F42E00">
      <w:pPr>
        <w:pStyle w:val="Heading1"/>
        <w:spacing w:after="120"/>
        <w:rPr>
          <w:rFonts w:ascii="Arial" w:hAnsi="Arial" w:cs="Arial"/>
          <w:color w:val="002060"/>
        </w:rPr>
      </w:pPr>
      <w:bookmarkStart w:id="275" w:name="_Toc238474917"/>
      <w:bookmarkStart w:id="276" w:name="_Toc238475830"/>
      <w:bookmarkStart w:id="277" w:name="_Toc238562148"/>
      <w:bookmarkStart w:id="278" w:name="_Toc239257331"/>
      <w:bookmarkStart w:id="279" w:name="_Toc239257434"/>
      <w:bookmarkStart w:id="280" w:name="_Toc239257535"/>
      <w:bookmarkStart w:id="281" w:name="_Toc240894372"/>
      <w:bookmarkStart w:id="282" w:name="_Toc240897583"/>
      <w:bookmarkStart w:id="283" w:name="_Toc240956401"/>
      <w:bookmarkStart w:id="284" w:name="_Toc240956438"/>
      <w:bookmarkStart w:id="285" w:name="_Toc240960036"/>
      <w:r>
        <w:rPr>
          <w:rFonts w:ascii="Arial" w:hAnsi="Arial" w:cs="Arial"/>
          <w:color w:val="002060"/>
        </w:rPr>
        <w:lastRenderedPageBreak/>
        <w:t>References</w:t>
      </w:r>
      <w:bookmarkEnd w:id="275"/>
      <w:bookmarkEnd w:id="276"/>
      <w:bookmarkEnd w:id="277"/>
      <w:bookmarkEnd w:id="278"/>
      <w:bookmarkEnd w:id="279"/>
      <w:bookmarkEnd w:id="280"/>
      <w:bookmarkEnd w:id="281"/>
      <w:bookmarkEnd w:id="282"/>
      <w:bookmarkEnd w:id="283"/>
      <w:bookmarkEnd w:id="284"/>
      <w:bookmarkEnd w:id="285"/>
    </w:p>
    <w:p w14:paraId="6E0E45CE" w14:textId="77777777" w:rsidR="00F42E00" w:rsidRPr="006F75DC"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rPr>
      </w:pPr>
      <w:r>
        <w:rPr>
          <w:rFonts w:ascii="Arial" w:hAnsi="Arial" w:cs="Arial"/>
          <w:szCs w:val="20"/>
        </w:rPr>
        <w:t>Australian Institute of Health and Welfare. Australia's health 2024: data insights. Canberra: AIHW; 2024.</w:t>
      </w:r>
    </w:p>
    <w:p w14:paraId="3498F463" w14:textId="77777777" w:rsidR="00F42E00" w:rsidRPr="006F75DC"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rPr>
      </w:pPr>
      <w:r>
        <w:rPr>
          <w:rFonts w:ascii="Arial" w:hAnsi="Arial" w:cs="Arial"/>
          <w:szCs w:val="20"/>
        </w:rPr>
        <w:t xml:space="preserve">Australian Alliance for Artificial Intelligence in Healthcare. AI in healthcare: state of the nation report. Sydney: </w:t>
      </w:r>
      <w:proofErr w:type="spellStart"/>
      <w:r>
        <w:rPr>
          <w:rFonts w:ascii="Arial" w:hAnsi="Arial" w:cs="Arial"/>
          <w:szCs w:val="20"/>
        </w:rPr>
        <w:t>AAAiH</w:t>
      </w:r>
      <w:proofErr w:type="spellEnd"/>
      <w:r>
        <w:rPr>
          <w:rFonts w:ascii="Arial" w:hAnsi="Arial" w:cs="Arial"/>
          <w:szCs w:val="20"/>
        </w:rPr>
        <w:t>; 2024.</w:t>
      </w:r>
    </w:p>
    <w:p w14:paraId="6AE439E0" w14:textId="77777777" w:rsidR="00F42E00" w:rsidRPr="006F75DC"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rPr>
      </w:pPr>
      <w:r>
        <w:rPr>
          <w:rFonts w:ascii="Arial" w:hAnsi="Arial" w:cs="Arial"/>
          <w:szCs w:val="20"/>
        </w:rPr>
        <w:t>Obermeyer Z, Powers B, Vogeli C, Mullainathan S. Dissecting racial bias in an algorithm used to manage the health of populations. Science. 2019;366(6464):447-453.</w:t>
      </w:r>
    </w:p>
    <w:p w14:paraId="508D4441" w14:textId="77777777" w:rsidR="00F42E00" w:rsidRPr="006F75DC"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rPr>
      </w:pPr>
      <w:proofErr w:type="spellStart"/>
      <w:r>
        <w:rPr>
          <w:rFonts w:ascii="Arial" w:hAnsi="Arial" w:cs="Arial"/>
          <w:szCs w:val="20"/>
        </w:rPr>
        <w:t>Maiam</w:t>
      </w:r>
      <w:proofErr w:type="spellEnd"/>
      <w:r>
        <w:rPr>
          <w:rFonts w:ascii="Arial" w:hAnsi="Arial" w:cs="Arial"/>
          <w:szCs w:val="20"/>
        </w:rPr>
        <w:t xml:space="preserve"> </w:t>
      </w:r>
      <w:proofErr w:type="spellStart"/>
      <w:r>
        <w:rPr>
          <w:rFonts w:ascii="Arial" w:hAnsi="Arial" w:cs="Arial"/>
          <w:szCs w:val="20"/>
        </w:rPr>
        <w:t>nayri</w:t>
      </w:r>
      <w:proofErr w:type="spellEnd"/>
      <w:r>
        <w:rPr>
          <w:rFonts w:ascii="Arial" w:hAnsi="Arial" w:cs="Arial"/>
          <w:szCs w:val="20"/>
        </w:rPr>
        <w:t xml:space="preserve"> </w:t>
      </w:r>
      <w:proofErr w:type="spellStart"/>
      <w:r>
        <w:rPr>
          <w:rFonts w:ascii="Arial" w:hAnsi="Arial" w:cs="Arial"/>
          <w:szCs w:val="20"/>
        </w:rPr>
        <w:t>Wingara</w:t>
      </w:r>
      <w:proofErr w:type="spellEnd"/>
      <w:r>
        <w:rPr>
          <w:rFonts w:ascii="Arial" w:hAnsi="Arial" w:cs="Arial"/>
          <w:szCs w:val="20"/>
        </w:rPr>
        <w:t xml:space="preserve"> Indigenous Data Sovereignty Collective. Indigenous Data Sovereignty Communique. Canberra: </w:t>
      </w:r>
      <w:proofErr w:type="spellStart"/>
      <w:r>
        <w:rPr>
          <w:rFonts w:ascii="Arial" w:hAnsi="Arial" w:cs="Arial"/>
          <w:szCs w:val="20"/>
        </w:rPr>
        <w:t>Maiam</w:t>
      </w:r>
      <w:proofErr w:type="spellEnd"/>
      <w:r>
        <w:rPr>
          <w:rFonts w:ascii="Arial" w:hAnsi="Arial" w:cs="Arial"/>
          <w:szCs w:val="20"/>
        </w:rPr>
        <w:t xml:space="preserve"> </w:t>
      </w:r>
      <w:proofErr w:type="spellStart"/>
      <w:r>
        <w:rPr>
          <w:rFonts w:ascii="Arial" w:hAnsi="Arial" w:cs="Arial"/>
          <w:szCs w:val="20"/>
        </w:rPr>
        <w:t>nayri</w:t>
      </w:r>
      <w:proofErr w:type="spellEnd"/>
      <w:r>
        <w:rPr>
          <w:rFonts w:ascii="Arial" w:hAnsi="Arial" w:cs="Arial"/>
          <w:szCs w:val="20"/>
        </w:rPr>
        <w:t xml:space="preserve"> </w:t>
      </w:r>
      <w:proofErr w:type="spellStart"/>
      <w:r>
        <w:rPr>
          <w:rFonts w:ascii="Arial" w:hAnsi="Arial" w:cs="Arial"/>
          <w:szCs w:val="20"/>
        </w:rPr>
        <w:t>Wingara</w:t>
      </w:r>
      <w:proofErr w:type="spellEnd"/>
      <w:r>
        <w:rPr>
          <w:rFonts w:ascii="Arial" w:hAnsi="Arial" w:cs="Arial"/>
          <w:szCs w:val="20"/>
        </w:rPr>
        <w:t>; 2018.</w:t>
      </w:r>
    </w:p>
    <w:p w14:paraId="56805172" w14:textId="77777777" w:rsidR="00F42E00" w:rsidRPr="006F75DC"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rPr>
      </w:pPr>
      <w:r>
        <w:rPr>
          <w:rFonts w:ascii="Arial" w:hAnsi="Arial" w:cs="Arial"/>
          <w:szCs w:val="20"/>
        </w:rPr>
        <w:t>Australian Alliance for Artificial Intelligence in Healthcare. A roadmap for artificial intelligence in healthcare for Australia. Sydney: Macquarie University; 2024.</w:t>
      </w:r>
    </w:p>
    <w:p w14:paraId="13C16878" w14:textId="77777777" w:rsidR="00F42E00" w:rsidRPr="006F75DC"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rPr>
      </w:pPr>
      <w:r>
        <w:rPr>
          <w:rFonts w:ascii="Arial" w:hAnsi="Arial" w:cs="Arial"/>
          <w:szCs w:val="20"/>
        </w:rPr>
        <w:t>Department of Industry, Science and Resources. Voluntary AI Safety Standard. Canberra: Commonwealth of Australia; 2024.</w:t>
      </w:r>
    </w:p>
    <w:p w14:paraId="7DD18634" w14:textId="77777777" w:rsidR="00F42E00" w:rsidRPr="006F75DC"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rPr>
      </w:pPr>
      <w:r>
        <w:rPr>
          <w:rFonts w:ascii="Arial" w:hAnsi="Arial" w:cs="Arial"/>
          <w:szCs w:val="20"/>
        </w:rPr>
        <w:t>Therapeutic Goods Administration. Regulation of software based medical devices. Canberra: TGA; 2025.</w:t>
      </w:r>
    </w:p>
    <w:p w14:paraId="6A166516" w14:textId="77777777" w:rsidR="00F42E00" w:rsidRPr="006F75DC"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rPr>
      </w:pPr>
      <w:r>
        <w:rPr>
          <w:rFonts w:ascii="Arial" w:hAnsi="Arial" w:cs="Arial"/>
          <w:szCs w:val="20"/>
        </w:rPr>
        <w:t>Australian Commission on Safety and Quality in Health Care. National Model Clinical Governance Framework. Sydney: ACSQHC; 2017.</w:t>
      </w:r>
    </w:p>
    <w:p w14:paraId="7830E1EB" w14:textId="77777777" w:rsidR="00F42E00" w:rsidRPr="006F75DC"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rPr>
      </w:pPr>
      <w:r>
        <w:rPr>
          <w:rFonts w:ascii="Arial" w:hAnsi="Arial" w:cs="Arial"/>
          <w:szCs w:val="20"/>
        </w:rPr>
        <w:t>Australian Commission on Safety and Quality in Health Care. National Safety and Quality Digital Mental Health Standards. Sydney: ACSQHC; 2020.</w:t>
      </w:r>
    </w:p>
    <w:p w14:paraId="0657E7EA" w14:textId="77777777" w:rsidR="00F42E00" w:rsidRPr="006F75DC"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rPr>
      </w:pPr>
      <w:r>
        <w:rPr>
          <w:rFonts w:ascii="Arial" w:hAnsi="Arial" w:cs="Arial"/>
          <w:szCs w:val="20"/>
        </w:rPr>
        <w:t>Australian Commission on Safety and Quality in Health Care. Artificial intelligence (AI) and its use in healthcare: a clinician's guide. Sydney: ACSQHC; 2025.</w:t>
      </w:r>
    </w:p>
    <w:p w14:paraId="7568B314" w14:textId="77777777" w:rsidR="00F42E00" w:rsidRPr="006F75DC"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rPr>
      </w:pPr>
      <w:r>
        <w:rPr>
          <w:rFonts w:ascii="Arial" w:hAnsi="Arial" w:cs="Arial"/>
          <w:szCs w:val="20"/>
        </w:rPr>
        <w:t>Australian Health Practitioner Regulation Agency. Meeting your professional obligations when using artificial intelligence in healthcare. Melbourne: AHPRA; 2024.</w:t>
      </w:r>
    </w:p>
    <w:p w14:paraId="4CAAF383" w14:textId="77777777" w:rsidR="00F42E00" w:rsidRPr="006F75DC"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rPr>
      </w:pPr>
      <w:r>
        <w:rPr>
          <w:rFonts w:ascii="Arial" w:hAnsi="Arial" w:cs="Arial"/>
          <w:szCs w:val="20"/>
        </w:rPr>
        <w:t>Office of the Australian Information Commissioner. Australian Privacy Principles guidelines. Sydney: OAIC; 2023.</w:t>
      </w:r>
    </w:p>
    <w:p w14:paraId="554CBC22" w14:textId="77777777" w:rsidR="00F42E00" w:rsidRPr="006F75DC"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rPr>
      </w:pPr>
      <w:r>
        <w:rPr>
          <w:rFonts w:ascii="Arial" w:hAnsi="Arial" w:cs="Arial"/>
          <w:szCs w:val="20"/>
        </w:rPr>
        <w:t>Australian Signals Directorate. Essential Eight Maturity Model. Canberra: ASD; 2024.</w:t>
      </w:r>
    </w:p>
    <w:p w14:paraId="7BDA527E" w14:textId="77777777" w:rsidR="00F42E00" w:rsidRPr="006F75DC"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rPr>
      </w:pPr>
      <w:r>
        <w:rPr>
          <w:rFonts w:ascii="Arial" w:hAnsi="Arial" w:cs="Arial"/>
          <w:szCs w:val="20"/>
        </w:rPr>
        <w:t xml:space="preserve">Carroll SR, Garba I, Figueroa-Rodríguez OL, Holbrook J, Lovett R, </w:t>
      </w:r>
      <w:proofErr w:type="spellStart"/>
      <w:r>
        <w:rPr>
          <w:rFonts w:ascii="Arial" w:hAnsi="Arial" w:cs="Arial"/>
          <w:szCs w:val="20"/>
        </w:rPr>
        <w:t>Materechera</w:t>
      </w:r>
      <w:proofErr w:type="spellEnd"/>
      <w:r>
        <w:rPr>
          <w:rFonts w:ascii="Arial" w:hAnsi="Arial" w:cs="Arial"/>
          <w:szCs w:val="20"/>
        </w:rPr>
        <w:t xml:space="preserve"> S, et al. The CARE Principles for Indigenous Data Governance. Data Sci J. 2020;19(1):43.</w:t>
      </w:r>
    </w:p>
    <w:p w14:paraId="019BAC6E" w14:textId="77777777" w:rsidR="00F42E00" w:rsidRPr="006F75DC"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rPr>
      </w:pPr>
      <w:proofErr w:type="spellStart"/>
      <w:r>
        <w:rPr>
          <w:rFonts w:ascii="Arial" w:hAnsi="Arial" w:cs="Arial"/>
          <w:szCs w:val="20"/>
        </w:rPr>
        <w:t>Maiam</w:t>
      </w:r>
      <w:proofErr w:type="spellEnd"/>
      <w:r>
        <w:rPr>
          <w:rFonts w:ascii="Arial" w:hAnsi="Arial" w:cs="Arial"/>
          <w:szCs w:val="20"/>
        </w:rPr>
        <w:t xml:space="preserve"> </w:t>
      </w:r>
      <w:proofErr w:type="spellStart"/>
      <w:r>
        <w:rPr>
          <w:rFonts w:ascii="Arial" w:hAnsi="Arial" w:cs="Arial"/>
          <w:szCs w:val="20"/>
        </w:rPr>
        <w:t>nayri</w:t>
      </w:r>
      <w:proofErr w:type="spellEnd"/>
      <w:r>
        <w:rPr>
          <w:rFonts w:ascii="Arial" w:hAnsi="Arial" w:cs="Arial"/>
          <w:szCs w:val="20"/>
        </w:rPr>
        <w:t xml:space="preserve"> </w:t>
      </w:r>
      <w:proofErr w:type="spellStart"/>
      <w:r>
        <w:rPr>
          <w:rFonts w:ascii="Arial" w:hAnsi="Arial" w:cs="Arial"/>
          <w:szCs w:val="20"/>
        </w:rPr>
        <w:t>Wingara</w:t>
      </w:r>
      <w:proofErr w:type="spellEnd"/>
      <w:r>
        <w:rPr>
          <w:rFonts w:ascii="Arial" w:hAnsi="Arial" w:cs="Arial"/>
          <w:szCs w:val="20"/>
        </w:rPr>
        <w:t xml:space="preserve"> Indigenous Data Sovereignty Collective and Australian Indigenous Governance Institute. Key principles. Canberra: </w:t>
      </w:r>
      <w:proofErr w:type="spellStart"/>
      <w:r>
        <w:rPr>
          <w:rFonts w:ascii="Arial" w:hAnsi="Arial" w:cs="Arial"/>
          <w:szCs w:val="20"/>
        </w:rPr>
        <w:t>Maiam</w:t>
      </w:r>
      <w:proofErr w:type="spellEnd"/>
      <w:r>
        <w:rPr>
          <w:rFonts w:ascii="Arial" w:hAnsi="Arial" w:cs="Arial"/>
          <w:szCs w:val="20"/>
        </w:rPr>
        <w:t xml:space="preserve"> </w:t>
      </w:r>
      <w:proofErr w:type="spellStart"/>
      <w:r>
        <w:rPr>
          <w:rFonts w:ascii="Arial" w:hAnsi="Arial" w:cs="Arial"/>
          <w:szCs w:val="20"/>
        </w:rPr>
        <w:t>nayri</w:t>
      </w:r>
      <w:proofErr w:type="spellEnd"/>
      <w:r>
        <w:rPr>
          <w:rFonts w:ascii="Arial" w:hAnsi="Arial" w:cs="Arial"/>
          <w:szCs w:val="20"/>
        </w:rPr>
        <w:t xml:space="preserve"> </w:t>
      </w:r>
      <w:proofErr w:type="spellStart"/>
      <w:r>
        <w:rPr>
          <w:rFonts w:ascii="Arial" w:hAnsi="Arial" w:cs="Arial"/>
          <w:szCs w:val="20"/>
        </w:rPr>
        <w:t>Wingara</w:t>
      </w:r>
      <w:proofErr w:type="spellEnd"/>
      <w:r>
        <w:rPr>
          <w:rFonts w:ascii="Arial" w:hAnsi="Arial" w:cs="Arial"/>
          <w:szCs w:val="20"/>
        </w:rPr>
        <w:t>; 2018.</w:t>
      </w:r>
    </w:p>
    <w:p w14:paraId="4C32A6CA" w14:textId="77777777" w:rsidR="00F42E00" w:rsidRPr="006F75DC"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rPr>
      </w:pPr>
      <w:r>
        <w:rPr>
          <w:rFonts w:ascii="Arial" w:hAnsi="Arial" w:cs="Arial"/>
          <w:szCs w:val="20"/>
        </w:rPr>
        <w:t>National Institute of Standards and Technology. Artificial Intelligence Risk Management Framework (AI RMF 1.0). Gaithersburg, MD: NIST; 2023.</w:t>
      </w:r>
    </w:p>
    <w:p w14:paraId="4E358161" w14:textId="77777777" w:rsidR="00F42E00" w:rsidRPr="006F75DC"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rPr>
      </w:pPr>
      <w:r>
        <w:rPr>
          <w:rFonts w:ascii="Arial" w:hAnsi="Arial" w:cs="Arial"/>
          <w:szCs w:val="20"/>
        </w:rPr>
        <w:t xml:space="preserve">European Union. Regulation (EU) 2024/1689 of the European Parliament and of the Council laying down harmonised rules on artificial intelligence (Artificial Intelligence Act). Off J </w:t>
      </w:r>
      <w:proofErr w:type="spellStart"/>
      <w:r>
        <w:rPr>
          <w:rFonts w:ascii="Arial" w:hAnsi="Arial" w:cs="Arial"/>
          <w:szCs w:val="20"/>
        </w:rPr>
        <w:t>Eur</w:t>
      </w:r>
      <w:proofErr w:type="spellEnd"/>
      <w:r>
        <w:rPr>
          <w:rFonts w:ascii="Arial" w:hAnsi="Arial" w:cs="Arial"/>
          <w:szCs w:val="20"/>
        </w:rPr>
        <w:t xml:space="preserve"> Union. 2024;L:1-144.</w:t>
      </w:r>
    </w:p>
    <w:p w14:paraId="75B13E0D" w14:textId="77777777" w:rsidR="00F42E00" w:rsidRPr="006F75DC"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rPr>
      </w:pPr>
      <w:r>
        <w:rPr>
          <w:rFonts w:ascii="Arial" w:hAnsi="Arial" w:cs="Arial"/>
          <w:szCs w:val="20"/>
        </w:rPr>
        <w:t>International Organization for Standardization. ISO/IEC 42001:2023 Information technology — Artificial intelligence — Management system. Geneva: ISO; 2023.</w:t>
      </w:r>
    </w:p>
    <w:p w14:paraId="2BA6746E" w14:textId="77777777" w:rsidR="00F42E00" w:rsidRPr="006F75DC"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rPr>
      </w:pPr>
      <w:r>
        <w:rPr>
          <w:rFonts w:ascii="Arial" w:hAnsi="Arial" w:cs="Arial"/>
          <w:szCs w:val="20"/>
        </w:rPr>
        <w:t>World Health Organization. Ethics and governance of artificial intelligence for health: WHO guidance. Geneva: WHO; 2021.</w:t>
      </w:r>
    </w:p>
    <w:p w14:paraId="2BCD759B" w14:textId="77777777" w:rsidR="00F42E00"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rPr>
      </w:pPr>
      <w:proofErr w:type="spellStart"/>
      <w:r>
        <w:rPr>
          <w:rFonts w:ascii="Arial" w:hAnsi="Arial" w:cs="Arial"/>
          <w:szCs w:val="20"/>
        </w:rPr>
        <w:t>Te</w:t>
      </w:r>
      <w:proofErr w:type="spellEnd"/>
      <w:r>
        <w:rPr>
          <w:rFonts w:ascii="Arial" w:hAnsi="Arial" w:cs="Arial"/>
          <w:szCs w:val="20"/>
        </w:rPr>
        <w:t xml:space="preserve"> </w:t>
      </w:r>
      <w:proofErr w:type="spellStart"/>
      <w:r>
        <w:rPr>
          <w:rFonts w:ascii="Arial" w:hAnsi="Arial" w:cs="Arial"/>
          <w:szCs w:val="20"/>
        </w:rPr>
        <w:t>Kāhui</w:t>
      </w:r>
      <w:proofErr w:type="spellEnd"/>
      <w:r>
        <w:rPr>
          <w:rFonts w:ascii="Arial" w:hAnsi="Arial" w:cs="Arial"/>
          <w:szCs w:val="20"/>
        </w:rPr>
        <w:t xml:space="preserve"> </w:t>
      </w:r>
      <w:proofErr w:type="spellStart"/>
      <w:r>
        <w:rPr>
          <w:rFonts w:ascii="Arial" w:hAnsi="Arial" w:cs="Arial"/>
          <w:szCs w:val="20"/>
        </w:rPr>
        <w:t>Raraunga</w:t>
      </w:r>
      <w:proofErr w:type="spellEnd"/>
      <w:r>
        <w:rPr>
          <w:rFonts w:ascii="Arial" w:hAnsi="Arial" w:cs="Arial"/>
          <w:szCs w:val="20"/>
        </w:rPr>
        <w:t xml:space="preserve">. Māori Data Governance Model. </w:t>
      </w:r>
      <w:proofErr w:type="spellStart"/>
      <w:r>
        <w:rPr>
          <w:rFonts w:ascii="Arial" w:hAnsi="Arial" w:cs="Arial"/>
          <w:szCs w:val="20"/>
        </w:rPr>
        <w:t>Te</w:t>
      </w:r>
      <w:proofErr w:type="spellEnd"/>
      <w:r>
        <w:rPr>
          <w:rFonts w:ascii="Arial" w:hAnsi="Arial" w:cs="Arial"/>
          <w:szCs w:val="20"/>
        </w:rPr>
        <w:t xml:space="preserve"> </w:t>
      </w:r>
      <w:proofErr w:type="spellStart"/>
      <w:r>
        <w:rPr>
          <w:rFonts w:ascii="Arial" w:hAnsi="Arial" w:cs="Arial"/>
          <w:szCs w:val="20"/>
        </w:rPr>
        <w:t>Kāhui</w:t>
      </w:r>
      <w:proofErr w:type="spellEnd"/>
      <w:r>
        <w:rPr>
          <w:rFonts w:ascii="Arial" w:hAnsi="Arial" w:cs="Arial"/>
          <w:szCs w:val="20"/>
        </w:rPr>
        <w:t xml:space="preserve"> </w:t>
      </w:r>
      <w:proofErr w:type="spellStart"/>
      <w:r>
        <w:rPr>
          <w:rFonts w:ascii="Arial" w:hAnsi="Arial" w:cs="Arial"/>
          <w:szCs w:val="20"/>
        </w:rPr>
        <w:t>Raraunga</w:t>
      </w:r>
      <w:proofErr w:type="spellEnd"/>
      <w:r>
        <w:rPr>
          <w:rFonts w:ascii="Arial" w:hAnsi="Arial" w:cs="Arial"/>
          <w:szCs w:val="20"/>
        </w:rPr>
        <w:t>; 2023.</w:t>
      </w:r>
    </w:p>
    <w:p w14:paraId="04258664" w14:textId="77777777" w:rsidR="00F42E00" w:rsidRPr="00C62E7B"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rPr>
      </w:pPr>
      <w:r>
        <w:rPr>
          <w:rFonts w:ascii="Arial" w:hAnsi="Arial" w:cs="Arial"/>
          <w:szCs w:val="20"/>
        </w:rPr>
        <w:t>First Nations Information Governance Centre. The First Nations Principles of OCAP®. Ottawa: FNIGC.</w:t>
      </w:r>
    </w:p>
    <w:p w14:paraId="2EA15DF5" w14:textId="77777777" w:rsidR="00F42E00" w:rsidRDefault="00F42E00" w:rsidP="00F42E00">
      <w:pPr>
        <w:pStyle w:val="ListParagraph"/>
        <w:numPr>
          <w:ilvl w:val="0"/>
          <w:numId w:val="19"/>
        </w:numPr>
        <w:tabs>
          <w:tab w:val="clear" w:pos="284"/>
          <w:tab w:val="clear" w:pos="567"/>
          <w:tab w:val="clear" w:pos="851"/>
        </w:tabs>
        <w:spacing w:after="60" w:line="280" w:lineRule="auto"/>
        <w:contextualSpacing w:val="0"/>
        <w:rPr>
          <w:rFonts w:ascii="Arial" w:hAnsi="Arial" w:cs="Arial"/>
          <w:szCs w:val="20"/>
        </w:rPr>
      </w:pPr>
      <w:r w:rsidRPr="00012DE8">
        <w:rPr>
          <w:rFonts w:ascii="Arial" w:hAnsi="Arial" w:cs="Arial"/>
          <w:szCs w:val="20"/>
        </w:rPr>
        <w:t xml:space="preserve">National AI Centre. Guidance for AI adoption: foundations [Internet]. Canberra: Department of Industry, Science and Resources; 2025 Oct 17 [cited 2026 Jun 30]. Available from: </w:t>
      </w:r>
      <w:hyperlink r:id="rId33" w:history="1">
        <w:r w:rsidRPr="00A150CB">
          <w:rPr>
            <w:rStyle w:val="Hyperlink"/>
            <w:rFonts w:ascii="Arial" w:hAnsi="Arial" w:cs="Arial"/>
            <w:szCs w:val="20"/>
          </w:rPr>
          <w:t>https://www.ai.gov.au/staying-safe-and-responsible/essential-ai-practices/guidance-ai-adoption-foundations</w:t>
        </w:r>
      </w:hyperlink>
    </w:p>
    <w:p w14:paraId="05DF7058" w14:textId="77777777" w:rsidR="00F42E00" w:rsidRDefault="00F42E00" w:rsidP="00C477D4"/>
    <w:p w14:paraId="29C343C0" w14:textId="77777777" w:rsidR="00806197" w:rsidRDefault="00806197" w:rsidP="00B013E1">
      <w:pPr>
        <w:sectPr w:rsidR="00806197" w:rsidSect="00C648B0">
          <w:pgSz w:w="11900" w:h="16840"/>
          <w:pgMar w:top="1021" w:right="1134" w:bottom="1418" w:left="1134" w:header="567" w:footer="454" w:gutter="0"/>
          <w:cols w:space="708"/>
          <w:docGrid w:linePitch="360"/>
        </w:sectPr>
      </w:pPr>
    </w:p>
    <w:p w14:paraId="0A9E1FC1" w14:textId="77777777" w:rsidR="00790FB0" w:rsidRPr="00FD3BA0" w:rsidRDefault="00790FB0" w:rsidP="00BC39A0">
      <w:pPr>
        <w:pStyle w:val="StyleHeading148ptAccent5"/>
      </w:pPr>
      <w:bookmarkStart w:id="286" w:name="_Toc239257435"/>
      <w:bookmarkStart w:id="287" w:name="_Toc239257536"/>
      <w:bookmarkStart w:id="288" w:name="_Toc240897584"/>
      <w:bookmarkStart w:id="289" w:name="_Toc240956402"/>
      <w:bookmarkStart w:id="290" w:name="_Toc240956439"/>
      <w:bookmarkStart w:id="291" w:name="_Toc240960037"/>
      <w:r w:rsidRPr="00FD3BA0">
        <w:lastRenderedPageBreak/>
        <w:t>Acceptable Use of Artificial Intelligence (AI) Policy Template</w:t>
      </w:r>
      <w:bookmarkEnd w:id="286"/>
      <w:bookmarkEnd w:id="287"/>
      <w:bookmarkEnd w:id="288"/>
      <w:bookmarkEnd w:id="289"/>
      <w:bookmarkEnd w:id="290"/>
      <w:bookmarkEnd w:id="291"/>
    </w:p>
    <w:p w14:paraId="6F34F445" w14:textId="77777777" w:rsidR="00790FB0" w:rsidRDefault="00790FB0" w:rsidP="00790FB0">
      <w:pPr>
        <w:pStyle w:val="Subtitle"/>
      </w:pPr>
      <w:r w:rsidRPr="003B5FA8">
        <w:t>for Aboriginal Community Controlled Health Organisations</w:t>
      </w:r>
    </w:p>
    <w:p w14:paraId="5D8BEE01" w14:textId="77777777" w:rsidR="00790FB0" w:rsidRPr="00B51AE6" w:rsidRDefault="00790FB0" w:rsidP="00790FB0">
      <w:pPr>
        <w:rPr>
          <w:b/>
        </w:rPr>
      </w:pPr>
    </w:p>
    <w:p w14:paraId="5C368EC7" w14:textId="77777777" w:rsidR="00790FB0" w:rsidRDefault="00790FB0" w:rsidP="00790FB0">
      <w:pPr>
        <w:pStyle w:val="Heading4"/>
        <w:rPr>
          <w:rStyle w:val="Strong"/>
          <w:b/>
          <w:bCs w:val="0"/>
        </w:rPr>
      </w:pPr>
      <w:r w:rsidRPr="00937BFF">
        <w:rPr>
          <w:b w:val="0"/>
          <w:bCs/>
          <w:noProof/>
        </w:rPr>
        <w:drawing>
          <wp:anchor distT="0" distB="0" distL="114300" distR="114300" simplePos="0" relativeHeight="251658244" behindDoc="1" locked="0" layoutInCell="1" allowOverlap="1" wp14:anchorId="280D242C" wp14:editId="1B317E42">
            <wp:simplePos x="0" y="0"/>
            <wp:positionH relativeFrom="margin">
              <wp:posOffset>4985385</wp:posOffset>
            </wp:positionH>
            <wp:positionV relativeFrom="paragraph">
              <wp:posOffset>6350</wp:posOffset>
            </wp:positionV>
            <wp:extent cx="1104900" cy="365125"/>
            <wp:effectExtent l="0" t="0" r="0" b="0"/>
            <wp:wrapTight wrapText="bothSides">
              <wp:wrapPolygon edited="0">
                <wp:start x="2979" y="0"/>
                <wp:lineTo x="0" y="5635"/>
                <wp:lineTo x="0" y="15777"/>
                <wp:lineTo x="7448" y="19158"/>
                <wp:lineTo x="17876" y="19158"/>
                <wp:lineTo x="20855" y="11270"/>
                <wp:lineTo x="20110" y="5635"/>
                <wp:lineTo x="5214" y="0"/>
                <wp:lineTo x="2979" y="0"/>
              </wp:wrapPolygon>
            </wp:wrapTight>
            <wp:docPr id="1115426979" name="Picture 1115426979" descr="The image displays the logo of the Digital Health Standards Council of Australasi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585479" name="Picture 1236585479" descr="The image displays the logo of the Digital Health Standards Council of Australasia.&#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04900" cy="365125"/>
                    </a:xfrm>
                    <a:prstGeom prst="rect">
                      <a:avLst/>
                    </a:prstGeom>
                  </pic:spPr>
                </pic:pic>
              </a:graphicData>
            </a:graphic>
            <wp14:sizeRelH relativeFrom="page">
              <wp14:pctWidth>0</wp14:pctWidth>
            </wp14:sizeRelH>
            <wp14:sizeRelV relativeFrom="page">
              <wp14:pctHeight>0</wp14:pctHeight>
            </wp14:sizeRelV>
          </wp:anchor>
        </w:drawing>
      </w:r>
      <w:r w:rsidRPr="00B51AE6">
        <w:rPr>
          <w:rStyle w:val="Strong"/>
          <w:b/>
          <w:bCs w:val="0"/>
        </w:rPr>
        <w:t>Prepared for NACCHO by Digital Health Standards Council of Australasia</w:t>
      </w:r>
    </w:p>
    <w:p w14:paraId="34105025" w14:textId="77777777" w:rsidR="00790FB0" w:rsidRDefault="00790FB0" w:rsidP="00790FB0"/>
    <w:p w14:paraId="70DF6BD6" w14:textId="77777777" w:rsidR="00790FB0" w:rsidRPr="00B51AE6" w:rsidRDefault="00790FB0" w:rsidP="00790FB0"/>
    <w:tbl>
      <w:tblPr>
        <w:tblStyle w:val="TableGrid"/>
        <w:tblW w:w="0" w:type="auto"/>
        <w:tblLook w:val="04A0" w:firstRow="1" w:lastRow="0" w:firstColumn="1" w:lastColumn="0" w:noHBand="0" w:noVBand="1"/>
      </w:tblPr>
      <w:tblGrid>
        <w:gridCol w:w="1926"/>
        <w:gridCol w:w="1926"/>
        <w:gridCol w:w="1926"/>
        <w:gridCol w:w="1927"/>
        <w:gridCol w:w="1927"/>
      </w:tblGrid>
      <w:tr w:rsidR="00790FB0" w14:paraId="7B2168D0" w14:textId="77777777" w:rsidTr="00DC543A">
        <w:tc>
          <w:tcPr>
            <w:cnfStyle w:val="001000000000" w:firstRow="0" w:lastRow="0" w:firstColumn="1" w:lastColumn="0" w:oddVBand="0" w:evenVBand="0" w:oddHBand="0" w:evenHBand="0" w:firstRowFirstColumn="0" w:firstRowLastColumn="0" w:lastRowFirstColumn="0" w:lastRowLastColumn="0"/>
            <w:tcW w:w="1926" w:type="dxa"/>
          </w:tcPr>
          <w:p w14:paraId="4638ED20" w14:textId="77777777" w:rsidR="00790FB0" w:rsidRDefault="00790FB0" w:rsidP="00DC543A">
            <w:r>
              <w:t>Version</w:t>
            </w:r>
          </w:p>
        </w:tc>
        <w:tc>
          <w:tcPr>
            <w:tcW w:w="1926" w:type="dxa"/>
          </w:tcPr>
          <w:p w14:paraId="10EDAC2F" w14:textId="77777777" w:rsidR="00790FB0" w:rsidRDefault="00790FB0" w:rsidP="00DC543A">
            <w:pPr>
              <w:cnfStyle w:val="000000000000" w:firstRow="0" w:lastRow="0" w:firstColumn="0" w:lastColumn="0" w:oddVBand="0" w:evenVBand="0" w:oddHBand="0" w:evenHBand="0" w:firstRowFirstColumn="0" w:firstRowLastColumn="0" w:lastRowFirstColumn="0" w:lastRowLastColumn="0"/>
            </w:pPr>
            <w:r>
              <w:t>Prepared</w:t>
            </w:r>
          </w:p>
        </w:tc>
        <w:tc>
          <w:tcPr>
            <w:tcW w:w="1926" w:type="dxa"/>
          </w:tcPr>
          <w:p w14:paraId="08F34C76" w14:textId="77777777" w:rsidR="00790FB0" w:rsidRDefault="00790FB0" w:rsidP="00DC543A">
            <w:pPr>
              <w:cnfStyle w:val="000000000000" w:firstRow="0" w:lastRow="0" w:firstColumn="0" w:lastColumn="0" w:oddVBand="0" w:evenVBand="0" w:oddHBand="0" w:evenHBand="0" w:firstRowFirstColumn="0" w:firstRowLastColumn="0" w:lastRowFirstColumn="0" w:lastRowLastColumn="0"/>
            </w:pPr>
          </w:p>
        </w:tc>
        <w:tc>
          <w:tcPr>
            <w:tcW w:w="1927" w:type="dxa"/>
          </w:tcPr>
          <w:p w14:paraId="78C905FC" w14:textId="77777777" w:rsidR="00790FB0" w:rsidRDefault="00790FB0" w:rsidP="00DC543A">
            <w:pPr>
              <w:cnfStyle w:val="000000000000" w:firstRow="0" w:lastRow="0" w:firstColumn="0" w:lastColumn="0" w:oddVBand="0" w:evenVBand="0" w:oddHBand="0" w:evenHBand="0" w:firstRowFirstColumn="0" w:firstRowLastColumn="0" w:lastRowFirstColumn="0" w:lastRowLastColumn="0"/>
            </w:pPr>
          </w:p>
        </w:tc>
        <w:tc>
          <w:tcPr>
            <w:tcW w:w="1927" w:type="dxa"/>
          </w:tcPr>
          <w:p w14:paraId="52F77A73" w14:textId="77777777" w:rsidR="00790FB0" w:rsidRDefault="00790FB0" w:rsidP="00DC543A">
            <w:pPr>
              <w:cnfStyle w:val="000000000000" w:firstRow="0" w:lastRow="0" w:firstColumn="0" w:lastColumn="0" w:oddVBand="0" w:evenVBand="0" w:oddHBand="0" w:evenHBand="0" w:firstRowFirstColumn="0" w:firstRowLastColumn="0" w:lastRowFirstColumn="0" w:lastRowLastColumn="0"/>
            </w:pPr>
          </w:p>
        </w:tc>
      </w:tr>
      <w:tr w:rsidR="00790FB0" w14:paraId="2E770BD1" w14:textId="77777777" w:rsidTr="00DC543A">
        <w:tc>
          <w:tcPr>
            <w:cnfStyle w:val="001000000000" w:firstRow="0" w:lastRow="0" w:firstColumn="1" w:lastColumn="0" w:oddVBand="0" w:evenVBand="0" w:oddHBand="0" w:evenHBand="0" w:firstRowFirstColumn="0" w:firstRowLastColumn="0" w:lastRowFirstColumn="0" w:lastRowLastColumn="0"/>
            <w:tcW w:w="1926" w:type="dxa"/>
          </w:tcPr>
          <w:p w14:paraId="4BBEE800" w14:textId="77777777" w:rsidR="00790FB0" w:rsidRDefault="00790FB0" w:rsidP="00DC543A">
            <w:r>
              <w:t>1.1</w:t>
            </w:r>
          </w:p>
        </w:tc>
        <w:tc>
          <w:tcPr>
            <w:tcW w:w="1926" w:type="dxa"/>
          </w:tcPr>
          <w:p w14:paraId="75D72C53" w14:textId="77777777" w:rsidR="00790FB0" w:rsidRDefault="00790FB0" w:rsidP="00DC543A">
            <w:pPr>
              <w:cnfStyle w:val="000000000000" w:firstRow="0" w:lastRow="0" w:firstColumn="0" w:lastColumn="0" w:oddVBand="0" w:evenVBand="0" w:oddHBand="0" w:evenHBand="0" w:firstRowFirstColumn="0" w:firstRowLastColumn="0" w:lastRowFirstColumn="0" w:lastRowLastColumn="0"/>
            </w:pPr>
            <w:r>
              <w:t>24 August 2026</w:t>
            </w:r>
          </w:p>
        </w:tc>
        <w:tc>
          <w:tcPr>
            <w:tcW w:w="1926" w:type="dxa"/>
          </w:tcPr>
          <w:p w14:paraId="5ACC74AC" w14:textId="77777777" w:rsidR="00790FB0" w:rsidRDefault="00790FB0" w:rsidP="00DC543A">
            <w:pPr>
              <w:cnfStyle w:val="000000000000" w:firstRow="0" w:lastRow="0" w:firstColumn="0" w:lastColumn="0" w:oddVBand="0" w:evenVBand="0" w:oddHBand="0" w:evenHBand="0" w:firstRowFirstColumn="0" w:firstRowLastColumn="0" w:lastRowFirstColumn="0" w:lastRowLastColumn="0"/>
            </w:pPr>
          </w:p>
        </w:tc>
        <w:tc>
          <w:tcPr>
            <w:tcW w:w="1927" w:type="dxa"/>
          </w:tcPr>
          <w:p w14:paraId="70A4C286" w14:textId="77777777" w:rsidR="00790FB0" w:rsidRDefault="00790FB0" w:rsidP="00DC543A">
            <w:pPr>
              <w:cnfStyle w:val="000000000000" w:firstRow="0" w:lastRow="0" w:firstColumn="0" w:lastColumn="0" w:oddVBand="0" w:evenVBand="0" w:oddHBand="0" w:evenHBand="0" w:firstRowFirstColumn="0" w:firstRowLastColumn="0" w:lastRowFirstColumn="0" w:lastRowLastColumn="0"/>
            </w:pPr>
          </w:p>
        </w:tc>
        <w:tc>
          <w:tcPr>
            <w:tcW w:w="1927" w:type="dxa"/>
          </w:tcPr>
          <w:p w14:paraId="7BC778ED" w14:textId="77777777" w:rsidR="00790FB0" w:rsidRDefault="00790FB0" w:rsidP="00DC543A">
            <w:pPr>
              <w:cnfStyle w:val="000000000000" w:firstRow="0" w:lastRow="0" w:firstColumn="0" w:lastColumn="0" w:oddVBand="0" w:evenVBand="0" w:oddHBand="0" w:evenHBand="0" w:firstRowFirstColumn="0" w:firstRowLastColumn="0" w:lastRowFirstColumn="0" w:lastRowLastColumn="0"/>
            </w:pPr>
          </w:p>
        </w:tc>
      </w:tr>
    </w:tbl>
    <w:p w14:paraId="6A9DB987" w14:textId="77777777" w:rsidR="00063E9F" w:rsidRDefault="00063E9F" w:rsidP="00B013E1"/>
    <w:p w14:paraId="6AA505F1" w14:textId="2DC2FB24" w:rsidR="00753987" w:rsidRPr="00F44D7B" w:rsidRDefault="00753987" w:rsidP="00F44D7B">
      <w:pPr>
        <w:pStyle w:val="Heading1"/>
      </w:pPr>
      <w:bookmarkStart w:id="292" w:name="_Toc238475832"/>
      <w:bookmarkStart w:id="293" w:name="_Toc239257333"/>
      <w:bookmarkStart w:id="294" w:name="_Toc239257436"/>
      <w:bookmarkStart w:id="295" w:name="_Toc239257537"/>
      <w:bookmarkStart w:id="296" w:name="_Toc240894374"/>
      <w:bookmarkStart w:id="297" w:name="_Toc240897585"/>
      <w:bookmarkStart w:id="298" w:name="_Toc240956403"/>
      <w:bookmarkStart w:id="299" w:name="_Toc240956440"/>
      <w:bookmarkStart w:id="300" w:name="_Toc240960038"/>
      <w:r>
        <w:lastRenderedPageBreak/>
        <w:t>Template: Acceptable Use of Artificial Intelligence (AI) Policy</w:t>
      </w:r>
      <w:bookmarkEnd w:id="292"/>
      <w:bookmarkEnd w:id="293"/>
      <w:bookmarkEnd w:id="294"/>
      <w:bookmarkEnd w:id="295"/>
      <w:bookmarkEnd w:id="296"/>
      <w:bookmarkEnd w:id="297"/>
      <w:bookmarkEnd w:id="298"/>
      <w:bookmarkEnd w:id="299"/>
      <w:bookmarkEnd w:id="300"/>
      <w:r>
        <w:t xml:space="preserve"> </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500"/>
      </w:tblGrid>
      <w:tr w:rsidR="00753987" w:rsidRPr="00431DC0" w14:paraId="22A98C04" w14:textId="77777777" w:rsidTr="00DC543A">
        <w:tc>
          <w:tcPr>
            <w:tcW w:w="0" w:type="auto"/>
            <w:tcBorders>
              <w:top w:val="single" w:sz="12" w:space="0" w:color="4982D5"/>
              <w:left w:val="single" w:sz="4" w:space="0" w:color="D5DBE0"/>
              <w:bottom w:val="single" w:sz="4" w:space="0" w:color="D5DBE0"/>
              <w:right w:val="single" w:sz="4" w:space="0" w:color="D5DBE0"/>
            </w:tcBorders>
            <w:shd w:val="clear" w:color="auto" w:fill="E6E7F4" w:themeFill="accent5" w:themeFillTint="33"/>
            <w:tcMar>
              <w:top w:w="160" w:type="dxa"/>
              <w:left w:w="240" w:type="dxa"/>
              <w:bottom w:w="160" w:type="dxa"/>
              <w:right w:w="240" w:type="dxa"/>
            </w:tcMar>
          </w:tcPr>
          <w:p w14:paraId="57E1F053" w14:textId="77777777" w:rsidR="00753987" w:rsidRPr="00A236A4" w:rsidRDefault="00753987" w:rsidP="00DC543A">
            <w:pPr>
              <w:spacing w:after="80"/>
              <w:rPr>
                <w:rFonts w:ascii="Arial" w:hAnsi="Arial" w:cs="Arial"/>
                <w:color w:val="333C72" w:themeColor="accent5" w:themeShade="80"/>
                <w:sz w:val="21"/>
                <w:szCs w:val="21"/>
              </w:rPr>
            </w:pPr>
            <w:r w:rsidRPr="00A236A4">
              <w:rPr>
                <w:rFonts w:ascii="Arial" w:hAnsi="Arial" w:cs="Arial"/>
                <w:b/>
                <w:bCs/>
                <w:color w:val="333C72" w:themeColor="accent5" w:themeShade="80"/>
                <w:sz w:val="21"/>
                <w:szCs w:val="21"/>
              </w:rPr>
              <w:t>INSTRUCTIONS FOR USE</w:t>
            </w:r>
          </w:p>
          <w:p w14:paraId="11CD9113" w14:textId="77777777" w:rsidR="00753987" w:rsidRPr="005D21D7" w:rsidRDefault="00753987" w:rsidP="00DC543A">
            <w:pPr>
              <w:spacing w:line="300" w:lineRule="auto"/>
              <w:rPr>
                <w:rFonts w:ascii="Arial" w:hAnsi="Arial" w:cs="Arial"/>
                <w:sz w:val="21"/>
                <w:szCs w:val="21"/>
              </w:rPr>
            </w:pPr>
            <w:r w:rsidRPr="005D21D7">
              <w:rPr>
                <w:rFonts w:ascii="Arial" w:hAnsi="Arial" w:cs="Arial"/>
                <w:sz w:val="21"/>
                <w:szCs w:val="21"/>
              </w:rPr>
              <w:t>When adopting this template, each Organisation replaces highlighted fields and adapts requirements to its scale, community priorities and existing policy suite. Organisations that describe themselves as corporations, councils, a medical service or another term may substitute that term for “Organisation” throughout.</w:t>
            </w:r>
          </w:p>
          <w:p w14:paraId="16432F1E" w14:textId="77777777" w:rsidR="00753987" w:rsidRPr="005D21D7" w:rsidRDefault="00753987" w:rsidP="00CC621C">
            <w:pPr>
              <w:pStyle w:val="NACCHOtext"/>
              <w:rPr>
                <w:sz w:val="21"/>
                <w:szCs w:val="21"/>
              </w:rPr>
            </w:pPr>
            <w:r w:rsidRPr="005D21D7">
              <w:rPr>
                <w:sz w:val="21"/>
                <w:szCs w:val="21"/>
              </w:rPr>
              <w:t xml:space="preserve">Use of this template does not guarantee compliance with any legal, regulatory, or professional obligations. It is provided as a general guide to support ACCHOs to develop or adapt an Acceptable Use of AI Policy in a way that reflects their local governance arrangements, community priorities and operational context. Organisations should seek appropriate legal or other professional advice before adopting or relying on this template. </w:t>
            </w:r>
          </w:p>
          <w:p w14:paraId="2A7341A1" w14:textId="77777777" w:rsidR="00753987" w:rsidRPr="008E4AA8" w:rsidRDefault="00753987" w:rsidP="00CC621C">
            <w:pPr>
              <w:pStyle w:val="NACCHOtext"/>
            </w:pPr>
            <w:r w:rsidRPr="005D21D7">
              <w:rPr>
                <w:sz w:val="21"/>
                <w:szCs w:val="21"/>
              </w:rPr>
              <w:t>This document is maintained in electronic form and is uncontrolled in printed form. It is the responsibility of the user to verify that this copy is the latest revision.</w:t>
            </w:r>
          </w:p>
        </w:tc>
      </w:tr>
    </w:tbl>
    <w:p w14:paraId="41D8EC56" w14:textId="77777777" w:rsidR="00753987" w:rsidRDefault="00753987" w:rsidP="00753987">
      <w:pPr>
        <w:spacing w:after="200"/>
        <w:rPr>
          <w:rFonts w:ascii="Arial" w:hAnsi="Arial" w:cs="Arial"/>
          <w:color w:val="6B7280"/>
          <w:szCs w:val="20"/>
        </w:rPr>
      </w:pPr>
    </w:p>
    <w:p w14:paraId="5794CDA5" w14:textId="77777777" w:rsidR="00C74FF3" w:rsidRDefault="00C74FF3" w:rsidP="00753987">
      <w:pPr>
        <w:spacing w:after="200"/>
        <w:rPr>
          <w:rFonts w:ascii="Arial" w:hAnsi="Arial" w:cs="Arial"/>
          <w:color w:val="6B7280"/>
          <w:szCs w:val="20"/>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19"/>
        <w:gridCol w:w="7381"/>
      </w:tblGrid>
      <w:tr w:rsidR="00753987" w:rsidRPr="00BE0688" w14:paraId="7A4546E5" w14:textId="77777777" w:rsidTr="00DC543A">
        <w:tc>
          <w:tcPr>
            <w:tcW w:w="2119"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39EF81A0" w14:textId="77777777" w:rsidR="00753987" w:rsidRPr="00BE0688" w:rsidRDefault="00753987" w:rsidP="00DC543A">
            <w:pPr>
              <w:spacing w:line="280" w:lineRule="auto"/>
              <w:rPr>
                <w:rFonts w:ascii="Arial" w:hAnsi="Arial" w:cs="Arial"/>
              </w:rPr>
            </w:pPr>
            <w:r>
              <w:rPr>
                <w:rFonts w:ascii="Arial" w:hAnsi="Arial" w:cs="Arial"/>
                <w:b/>
                <w:bCs/>
              </w:rPr>
              <w:t>Policy owner:</w:t>
            </w:r>
          </w:p>
        </w:tc>
        <w:sdt>
          <w:sdtPr>
            <w:rPr>
              <w:rFonts w:ascii="Arial" w:hAnsi="Arial" w:cs="Arial"/>
              <w:b/>
              <w:bCs/>
              <w:highlight w:val="cyan"/>
            </w:rPr>
            <w:alias w:val="Author"/>
            <w:tag w:val=""/>
            <w:id w:val="304822544"/>
            <w:placeholder>
              <w:docPart w:val="177BE27298FE4C97A435C7C14A3CE416"/>
            </w:placeholder>
            <w:showingPlcHdr/>
            <w:dataBinding w:prefixMappings="xmlns:ns0='http://purl.org/dc/elements/1.1/' xmlns:ns1='http://schemas.openxmlformats.org/package/2006/metadata/core-properties' " w:xpath="/ns1:coreProperties[1]/ns0:creator[1]" w:storeItemID="{6C3C8BC8-F283-45AE-878A-BAB7291924A1}"/>
            <w:text/>
          </w:sdtPr>
          <w:sdtContent>
            <w:tc>
              <w:tcPr>
                <w:tcW w:w="7381"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344C9D8F" w14:textId="57614998" w:rsidR="00753987" w:rsidRPr="00080DCE" w:rsidRDefault="00A81117" w:rsidP="00DC543A">
                <w:pPr>
                  <w:rPr>
                    <w:rFonts w:ascii="Arial" w:hAnsi="Arial" w:cs="Arial"/>
                    <w:highlight w:val="cyan"/>
                  </w:rPr>
                </w:pPr>
                <w:r w:rsidRPr="008E4DBB">
                  <w:rPr>
                    <w:rStyle w:val="PlaceholderText"/>
                  </w:rPr>
                  <w:t>[Author]</w:t>
                </w:r>
              </w:p>
            </w:tc>
          </w:sdtContent>
        </w:sdt>
      </w:tr>
      <w:tr w:rsidR="00753987" w:rsidRPr="00BE0688" w14:paraId="3BD00486" w14:textId="77777777" w:rsidTr="00DC543A">
        <w:tc>
          <w:tcPr>
            <w:tcW w:w="2119"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4EBDB820" w14:textId="77777777" w:rsidR="00753987" w:rsidRPr="00BE0688" w:rsidRDefault="00753987" w:rsidP="00DC543A">
            <w:pPr>
              <w:spacing w:line="280" w:lineRule="auto"/>
              <w:rPr>
                <w:rFonts w:ascii="Arial" w:hAnsi="Arial" w:cs="Arial"/>
              </w:rPr>
            </w:pPr>
            <w:r>
              <w:rPr>
                <w:rFonts w:ascii="Arial" w:hAnsi="Arial" w:cs="Arial"/>
                <w:b/>
                <w:bCs/>
              </w:rPr>
              <w:t>Approved by:</w:t>
            </w:r>
          </w:p>
        </w:tc>
        <w:tc>
          <w:tcPr>
            <w:tcW w:w="7381"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5F4D840E" w14:textId="77777777" w:rsidR="00753987" w:rsidRPr="00080DCE" w:rsidRDefault="00753987" w:rsidP="00DC543A">
            <w:pPr>
              <w:rPr>
                <w:rFonts w:ascii="Arial" w:hAnsi="Arial" w:cs="Arial"/>
                <w:highlight w:val="cyan"/>
              </w:rPr>
            </w:pPr>
            <w:r>
              <w:rPr>
                <w:rFonts w:ascii="Arial" w:hAnsi="Arial" w:cs="Arial"/>
                <w:b/>
                <w:bCs/>
                <w:highlight w:val="cyan"/>
              </w:rPr>
              <w:t>[Insert position or governing body]</w:t>
            </w:r>
          </w:p>
        </w:tc>
      </w:tr>
      <w:tr w:rsidR="00753987" w:rsidRPr="00BE0688" w14:paraId="75BCA652" w14:textId="77777777" w:rsidTr="00DC543A">
        <w:tc>
          <w:tcPr>
            <w:tcW w:w="2119"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364A50B0" w14:textId="77777777" w:rsidR="00753987" w:rsidRPr="00BE0688" w:rsidRDefault="00753987" w:rsidP="00DC543A">
            <w:pPr>
              <w:spacing w:line="280" w:lineRule="auto"/>
              <w:rPr>
                <w:rFonts w:ascii="Arial" w:hAnsi="Arial" w:cs="Arial"/>
              </w:rPr>
            </w:pPr>
            <w:r>
              <w:rPr>
                <w:rFonts w:ascii="Arial" w:hAnsi="Arial" w:cs="Arial"/>
                <w:b/>
                <w:bCs/>
              </w:rPr>
              <w:t>Effective date:</w:t>
            </w:r>
          </w:p>
        </w:tc>
        <w:tc>
          <w:tcPr>
            <w:tcW w:w="7381"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sdt>
            <w:sdtPr>
              <w:rPr>
                <w:rFonts w:ascii="Arial" w:hAnsi="Arial" w:cs="Arial"/>
                <w:b/>
                <w:bCs/>
                <w:highlight w:val="cyan"/>
              </w:rPr>
              <w:id w:val="-1990550890"/>
              <w:placeholder>
                <w:docPart w:val="20692ABC17344B9D83E650FA8690D73B"/>
              </w:placeholder>
              <w:date>
                <w:dateFormat w:val="d/MM/yyyy"/>
                <w:lid w:val="en-AU"/>
                <w:storeMappedDataAs w:val="dateTime"/>
                <w:calendar w:val="gregorian"/>
              </w:date>
            </w:sdtPr>
            <w:sdtContent>
              <w:p w14:paraId="5C0638C4" w14:textId="77777777" w:rsidR="00753987" w:rsidRPr="00080DCE" w:rsidRDefault="00753987" w:rsidP="00DC543A">
                <w:pPr>
                  <w:rPr>
                    <w:rFonts w:ascii="Arial" w:hAnsi="Arial" w:cs="Arial"/>
                    <w:highlight w:val="cyan"/>
                  </w:rPr>
                </w:pPr>
                <w:r>
                  <w:rPr>
                    <w:rFonts w:ascii="Arial" w:hAnsi="Arial" w:cs="Arial"/>
                    <w:b/>
                    <w:bCs/>
                    <w:highlight w:val="cyan"/>
                  </w:rPr>
                  <w:t>[Insert date]</w:t>
                </w:r>
              </w:p>
            </w:sdtContent>
          </w:sdt>
        </w:tc>
      </w:tr>
      <w:tr w:rsidR="00753987" w:rsidRPr="00BE0688" w14:paraId="2CEC6225" w14:textId="77777777" w:rsidTr="00DC543A">
        <w:tc>
          <w:tcPr>
            <w:tcW w:w="2119"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61457FF0" w14:textId="77777777" w:rsidR="00753987" w:rsidRPr="00BE0688" w:rsidRDefault="00753987" w:rsidP="00DC543A">
            <w:pPr>
              <w:spacing w:line="280" w:lineRule="auto"/>
              <w:rPr>
                <w:rFonts w:ascii="Arial" w:hAnsi="Arial" w:cs="Arial"/>
              </w:rPr>
            </w:pPr>
            <w:r>
              <w:rPr>
                <w:rFonts w:ascii="Arial" w:hAnsi="Arial" w:cs="Arial"/>
                <w:b/>
                <w:bCs/>
              </w:rPr>
              <w:t>Next review date:</w:t>
            </w:r>
          </w:p>
        </w:tc>
        <w:tc>
          <w:tcPr>
            <w:tcW w:w="7381"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sdt>
            <w:sdtPr>
              <w:rPr>
                <w:rFonts w:ascii="Arial" w:hAnsi="Arial" w:cs="Arial"/>
                <w:b/>
                <w:bCs/>
                <w:highlight w:val="cyan"/>
              </w:rPr>
              <w:id w:val="2014566411"/>
              <w:placeholder>
                <w:docPart w:val="20692ABC17344B9D83E650FA8690D73B"/>
              </w:placeholder>
              <w:date>
                <w:dateFormat w:val="d/MM/yyyy"/>
                <w:lid w:val="en-AU"/>
                <w:storeMappedDataAs w:val="dateTime"/>
                <w:calendar w:val="gregorian"/>
              </w:date>
            </w:sdtPr>
            <w:sdtContent>
              <w:p w14:paraId="424A069C" w14:textId="77777777" w:rsidR="00753987" w:rsidRPr="00080DCE" w:rsidRDefault="00753987" w:rsidP="00DC543A">
                <w:pPr>
                  <w:rPr>
                    <w:rFonts w:ascii="Arial" w:hAnsi="Arial" w:cs="Arial"/>
                    <w:highlight w:val="cyan"/>
                  </w:rPr>
                </w:pPr>
                <w:r>
                  <w:rPr>
                    <w:rFonts w:ascii="Arial" w:hAnsi="Arial" w:cs="Arial"/>
                    <w:b/>
                    <w:bCs/>
                    <w:highlight w:val="cyan"/>
                  </w:rPr>
                  <w:t>[Insert date]</w:t>
                </w:r>
              </w:p>
            </w:sdtContent>
          </w:sdt>
        </w:tc>
      </w:tr>
      <w:tr w:rsidR="00753987" w:rsidRPr="00BE0688" w14:paraId="1813FCED" w14:textId="77777777" w:rsidTr="00DC543A">
        <w:tc>
          <w:tcPr>
            <w:tcW w:w="2119"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037DE642" w14:textId="77777777" w:rsidR="00753987" w:rsidRPr="00BE0688" w:rsidRDefault="00753987" w:rsidP="00DC543A">
            <w:pPr>
              <w:spacing w:line="280" w:lineRule="auto"/>
              <w:rPr>
                <w:rFonts w:ascii="Arial" w:hAnsi="Arial" w:cs="Arial"/>
              </w:rPr>
            </w:pPr>
            <w:r>
              <w:rPr>
                <w:rFonts w:ascii="Arial" w:hAnsi="Arial" w:cs="Arial"/>
                <w:b/>
                <w:bCs/>
              </w:rPr>
              <w:t>Version:</w:t>
            </w:r>
          </w:p>
        </w:tc>
        <w:tc>
          <w:tcPr>
            <w:tcW w:w="7381"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0FF72A07" w14:textId="77777777" w:rsidR="00753987" w:rsidRPr="00080DCE" w:rsidRDefault="00753987" w:rsidP="00DC543A">
            <w:pPr>
              <w:rPr>
                <w:rFonts w:ascii="Arial" w:hAnsi="Arial" w:cs="Arial"/>
                <w:highlight w:val="cyan"/>
              </w:rPr>
            </w:pPr>
            <w:r>
              <w:rPr>
                <w:rFonts w:ascii="Arial" w:hAnsi="Arial" w:cs="Arial"/>
                <w:b/>
                <w:bCs/>
                <w:highlight w:val="cyan"/>
              </w:rPr>
              <w:t>[Insert version number]</w:t>
            </w:r>
          </w:p>
        </w:tc>
      </w:tr>
      <w:tr w:rsidR="00753987" w:rsidRPr="00BE0688" w14:paraId="75FEDFE8" w14:textId="77777777" w:rsidTr="00DC543A">
        <w:tc>
          <w:tcPr>
            <w:tcW w:w="2119"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51DAD448" w14:textId="77777777" w:rsidR="00753987" w:rsidRPr="00BE0688" w:rsidRDefault="00753987" w:rsidP="00DC543A">
            <w:pPr>
              <w:spacing w:line="280" w:lineRule="auto"/>
              <w:rPr>
                <w:rFonts w:ascii="Arial" w:hAnsi="Arial" w:cs="Arial"/>
              </w:rPr>
            </w:pPr>
            <w:r>
              <w:rPr>
                <w:rFonts w:ascii="Arial" w:hAnsi="Arial" w:cs="Arial"/>
                <w:b/>
                <w:bCs/>
              </w:rPr>
              <w:t>Applies to:</w:t>
            </w:r>
          </w:p>
        </w:tc>
        <w:tc>
          <w:tcPr>
            <w:tcW w:w="7381"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530EB33C" w14:textId="77777777" w:rsidR="00753987" w:rsidRPr="00CE4B7B" w:rsidRDefault="00753987" w:rsidP="00DC543A">
            <w:pPr>
              <w:rPr>
                <w:rFonts w:ascii="Arial" w:hAnsi="Arial" w:cs="Arial"/>
                <w:b/>
                <w:bCs/>
                <w:highlight w:val="lightGray"/>
              </w:rPr>
            </w:pPr>
            <w:r>
              <w:rPr>
                <w:rFonts w:ascii="Arial" w:hAnsi="Arial" w:cs="Arial"/>
                <w:b/>
                <w:bCs/>
                <w:highlight w:val="cyan"/>
              </w:rPr>
              <w:t>[Insert stakeholders]</w:t>
            </w:r>
            <w:r>
              <w:rPr>
                <w:rFonts w:ascii="Arial" w:hAnsi="Arial" w:cs="Arial"/>
                <w:b/>
                <w:bCs/>
              </w:rPr>
              <w:t xml:space="preserve"> (</w:t>
            </w:r>
            <w:r>
              <w:rPr>
                <w:rFonts w:ascii="Arial" w:hAnsi="Arial" w:cs="Arial"/>
              </w:rPr>
              <w:t>e.g. all staff, Board members, contractors, students, volunteers and third parties)</w:t>
            </w:r>
          </w:p>
        </w:tc>
      </w:tr>
    </w:tbl>
    <w:p w14:paraId="4DE0C2B0" w14:textId="77777777" w:rsidR="00753987" w:rsidRDefault="00753987" w:rsidP="00753987">
      <w:pPr>
        <w:rPr>
          <w:rFonts w:ascii="Arial" w:hAnsi="Arial" w:cs="Arial"/>
        </w:rPr>
      </w:pPr>
    </w:p>
    <w:p w14:paraId="6E6B9640" w14:textId="77777777" w:rsidR="00C74FF3" w:rsidRDefault="00C74FF3" w:rsidP="00753987">
      <w:pPr>
        <w:rPr>
          <w:rFonts w:ascii="Arial" w:hAnsi="Arial" w:cs="Arial"/>
        </w:rPr>
      </w:pPr>
    </w:p>
    <w:p w14:paraId="4299BA12" w14:textId="77777777" w:rsidR="00753987" w:rsidRDefault="00753987" w:rsidP="00753987">
      <w:pPr>
        <w:rPr>
          <w:rFonts w:ascii="Arial" w:hAnsi="Arial" w:cs="Arial"/>
        </w:rPr>
      </w:pPr>
      <w:r>
        <w:rPr>
          <w:rFonts w:ascii="Arial" w:hAnsi="Arial" w:cs="Arial"/>
          <w:b/>
          <w:bCs/>
        </w:rPr>
        <w:t>Version control</w:t>
      </w:r>
    </w:p>
    <w:tbl>
      <w:tblPr>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68"/>
        <w:gridCol w:w="1843"/>
        <w:gridCol w:w="3827"/>
        <w:gridCol w:w="2552"/>
      </w:tblGrid>
      <w:tr w:rsidR="00753987" w:rsidRPr="00BE0688" w14:paraId="5F7D7C60" w14:textId="77777777" w:rsidTr="0027270C">
        <w:trPr>
          <w:trHeight w:val="263"/>
        </w:trPr>
        <w:tc>
          <w:tcPr>
            <w:tcW w:w="1268"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1E84201B" w14:textId="77777777" w:rsidR="00753987" w:rsidRPr="00080DCE" w:rsidRDefault="00753987" w:rsidP="00DC543A">
            <w:pPr>
              <w:ind w:left="113"/>
              <w:rPr>
                <w:rFonts w:ascii="Arial" w:hAnsi="Arial" w:cs="Arial"/>
                <w:b/>
                <w:bCs/>
              </w:rPr>
            </w:pPr>
            <w:r>
              <w:rPr>
                <w:rFonts w:ascii="Arial" w:hAnsi="Arial" w:cs="Arial"/>
                <w:b/>
                <w:bCs/>
              </w:rPr>
              <w:t>Version</w:t>
            </w:r>
          </w:p>
        </w:tc>
        <w:tc>
          <w:tcPr>
            <w:tcW w:w="1843"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4DD05DEF" w14:textId="77777777" w:rsidR="00753987" w:rsidRPr="00080DCE" w:rsidRDefault="00753987" w:rsidP="00DC543A">
            <w:pPr>
              <w:ind w:left="113"/>
              <w:rPr>
                <w:rFonts w:ascii="Arial" w:hAnsi="Arial" w:cs="Arial"/>
                <w:b/>
                <w:bCs/>
              </w:rPr>
            </w:pPr>
            <w:r>
              <w:rPr>
                <w:rFonts w:ascii="Arial" w:hAnsi="Arial" w:cs="Arial"/>
                <w:b/>
                <w:bCs/>
              </w:rPr>
              <w:t>Date</w:t>
            </w:r>
          </w:p>
        </w:tc>
        <w:tc>
          <w:tcPr>
            <w:tcW w:w="3827" w:type="dxa"/>
            <w:tcBorders>
              <w:top w:val="single" w:sz="6" w:space="0" w:color="000000"/>
              <w:left w:val="single" w:sz="6" w:space="0" w:color="000000"/>
              <w:bottom w:val="single" w:sz="6" w:space="0" w:color="000000"/>
              <w:right w:val="single" w:sz="6" w:space="0" w:color="000000"/>
            </w:tcBorders>
          </w:tcPr>
          <w:p w14:paraId="4DB08785" w14:textId="77777777" w:rsidR="00753987" w:rsidRPr="00080DCE" w:rsidRDefault="00753987" w:rsidP="00DC543A">
            <w:pPr>
              <w:ind w:left="113"/>
              <w:rPr>
                <w:rFonts w:ascii="Arial" w:hAnsi="Arial" w:cs="Arial"/>
                <w:b/>
                <w:bCs/>
              </w:rPr>
            </w:pPr>
            <w:r>
              <w:rPr>
                <w:rFonts w:ascii="Arial" w:hAnsi="Arial" w:cs="Arial"/>
                <w:b/>
                <w:bCs/>
              </w:rPr>
              <w:t>Amendments</w:t>
            </w:r>
          </w:p>
        </w:tc>
        <w:tc>
          <w:tcPr>
            <w:tcW w:w="2552" w:type="dxa"/>
            <w:tcBorders>
              <w:top w:val="single" w:sz="6" w:space="0" w:color="000000"/>
              <w:left w:val="single" w:sz="6" w:space="0" w:color="000000"/>
              <w:bottom w:val="single" w:sz="6" w:space="0" w:color="000000"/>
              <w:right w:val="single" w:sz="6" w:space="0" w:color="000000"/>
            </w:tcBorders>
          </w:tcPr>
          <w:p w14:paraId="084BD029" w14:textId="77777777" w:rsidR="00753987" w:rsidRPr="00080DCE" w:rsidRDefault="00753987" w:rsidP="00DC543A">
            <w:pPr>
              <w:ind w:left="113"/>
              <w:rPr>
                <w:rFonts w:ascii="Arial" w:hAnsi="Arial" w:cs="Arial"/>
                <w:b/>
                <w:bCs/>
              </w:rPr>
            </w:pPr>
            <w:r>
              <w:rPr>
                <w:rFonts w:ascii="Arial" w:hAnsi="Arial" w:cs="Arial"/>
                <w:b/>
                <w:bCs/>
              </w:rPr>
              <w:t xml:space="preserve"> Author</w:t>
            </w:r>
          </w:p>
        </w:tc>
      </w:tr>
      <w:tr w:rsidR="00753987" w:rsidRPr="00BE0688" w14:paraId="6F5520F9" w14:textId="77777777" w:rsidTr="0027270C">
        <w:trPr>
          <w:trHeight w:val="263"/>
        </w:trPr>
        <w:tc>
          <w:tcPr>
            <w:tcW w:w="1268"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6C1953A7" w14:textId="77777777" w:rsidR="00753987" w:rsidRPr="0021325C" w:rsidRDefault="00753987" w:rsidP="00DC543A">
            <w:pPr>
              <w:ind w:left="113"/>
              <w:rPr>
                <w:rFonts w:ascii="Arial" w:hAnsi="Arial" w:cs="Arial"/>
                <w:highlight w:val="lightGray"/>
              </w:rPr>
            </w:pPr>
            <w:proofErr w:type="spellStart"/>
            <w:r>
              <w:rPr>
                <w:rFonts w:ascii="Arial" w:hAnsi="Arial" w:cs="Arial"/>
                <w:highlight w:val="lightGray"/>
              </w:rPr>
              <w:t>v.</w:t>
            </w:r>
            <w:r w:rsidRPr="0021325C">
              <w:rPr>
                <w:rFonts w:ascii="Arial" w:hAnsi="Arial" w:cs="Arial"/>
                <w:highlight w:val="lightGray"/>
              </w:rPr>
              <w:t>x.x</w:t>
            </w:r>
            <w:proofErr w:type="spellEnd"/>
          </w:p>
        </w:tc>
        <w:sdt>
          <w:sdtPr>
            <w:rPr>
              <w:rFonts w:ascii="Arial" w:hAnsi="Arial" w:cs="Arial"/>
              <w:b/>
              <w:bCs/>
              <w:highlight w:val="lightGray"/>
            </w:rPr>
            <w:id w:val="2041237405"/>
            <w:placeholder>
              <w:docPart w:val="20692ABC17344B9D83E650FA8690D73B"/>
            </w:placeholder>
            <w:showingPlcHdr/>
            <w:date>
              <w:dateFormat w:val="d/MM/yyyy"/>
              <w:lid w:val="en-AU"/>
              <w:storeMappedDataAs w:val="dateTime"/>
              <w:calendar w:val="gregorian"/>
            </w:date>
          </w:sdtPr>
          <w:sdtContent>
            <w:tc>
              <w:tcPr>
                <w:tcW w:w="1843"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22AB1346" w14:textId="77777777" w:rsidR="00753987" w:rsidRPr="00CE4B7B" w:rsidRDefault="00753987" w:rsidP="00DC543A">
                <w:pPr>
                  <w:ind w:left="113"/>
                  <w:rPr>
                    <w:rFonts w:ascii="Arial" w:hAnsi="Arial" w:cs="Arial"/>
                    <w:b/>
                    <w:bCs/>
                    <w:highlight w:val="lightGray"/>
                  </w:rPr>
                </w:pPr>
                <w:r>
                  <w:rPr>
                    <w:rStyle w:val="PlaceholderText"/>
                  </w:rPr>
                  <w:t>Click or tap to enter a date.</w:t>
                </w:r>
              </w:p>
            </w:tc>
          </w:sdtContent>
        </w:sdt>
        <w:tc>
          <w:tcPr>
            <w:tcW w:w="3827" w:type="dxa"/>
            <w:tcBorders>
              <w:top w:val="single" w:sz="6" w:space="0" w:color="000000"/>
              <w:left w:val="single" w:sz="6" w:space="0" w:color="000000"/>
              <w:bottom w:val="single" w:sz="6" w:space="0" w:color="000000"/>
              <w:right w:val="single" w:sz="6" w:space="0" w:color="000000"/>
            </w:tcBorders>
          </w:tcPr>
          <w:p w14:paraId="180F2399" w14:textId="77777777" w:rsidR="00753987" w:rsidRPr="00BE0688" w:rsidRDefault="00753987" w:rsidP="00DC543A">
            <w:pPr>
              <w:ind w:left="113"/>
              <w:rPr>
                <w:rFonts w:ascii="Arial" w:hAnsi="Arial" w:cs="Arial"/>
                <w:b/>
                <w:bCs/>
                <w:highlight w:val="lightGray"/>
              </w:rPr>
            </w:pPr>
          </w:p>
        </w:tc>
        <w:sdt>
          <w:sdtPr>
            <w:rPr>
              <w:rFonts w:ascii="Arial" w:hAnsi="Arial" w:cs="Arial"/>
            </w:rPr>
            <w:alias w:val="Author"/>
            <w:tag w:val=""/>
            <w:id w:val="1336116057"/>
            <w:placeholder>
              <w:docPart w:val="9367E54EAAD34045B6287D972FE11952"/>
            </w:placeholder>
            <w:showingPlcHdr/>
            <w:dataBinding w:prefixMappings="xmlns:ns0='http://purl.org/dc/elements/1.1/' xmlns:ns1='http://schemas.openxmlformats.org/package/2006/metadata/core-properties' " w:xpath="/ns1:coreProperties[1]/ns0:creator[1]" w:storeItemID="{6C3C8BC8-F283-45AE-878A-BAB7291924A1}"/>
            <w:text/>
          </w:sdtPr>
          <w:sdtContent>
            <w:tc>
              <w:tcPr>
                <w:tcW w:w="2552" w:type="dxa"/>
                <w:tcBorders>
                  <w:top w:val="single" w:sz="6" w:space="0" w:color="000000"/>
                  <w:left w:val="single" w:sz="6" w:space="0" w:color="000000"/>
                  <w:bottom w:val="single" w:sz="6" w:space="0" w:color="000000"/>
                  <w:right w:val="single" w:sz="6" w:space="0" w:color="000000"/>
                </w:tcBorders>
              </w:tcPr>
              <w:p w14:paraId="17D55CC8" w14:textId="035BFAF6" w:rsidR="00753987" w:rsidRPr="00BE0688" w:rsidRDefault="00A81117" w:rsidP="00DC543A">
                <w:pPr>
                  <w:ind w:left="113"/>
                  <w:rPr>
                    <w:rFonts w:ascii="Arial" w:hAnsi="Arial" w:cs="Arial"/>
                    <w:b/>
                    <w:bCs/>
                    <w:highlight w:val="lightGray"/>
                  </w:rPr>
                </w:pPr>
                <w:r w:rsidRPr="008E4DBB">
                  <w:rPr>
                    <w:rStyle w:val="PlaceholderText"/>
                  </w:rPr>
                  <w:t>[Author]</w:t>
                </w:r>
              </w:p>
            </w:tc>
          </w:sdtContent>
        </w:sdt>
      </w:tr>
      <w:tr w:rsidR="00753987" w:rsidRPr="00BE0688" w14:paraId="551B1B84" w14:textId="77777777" w:rsidTr="0027270C">
        <w:trPr>
          <w:trHeight w:val="238"/>
        </w:trPr>
        <w:tc>
          <w:tcPr>
            <w:tcW w:w="1268"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2FDED2C4" w14:textId="77777777" w:rsidR="00753987" w:rsidRPr="00CE4B7B" w:rsidRDefault="00753987" w:rsidP="00DC543A">
            <w:pPr>
              <w:rPr>
                <w:rFonts w:ascii="Arial" w:hAnsi="Arial" w:cs="Arial"/>
                <w:b/>
                <w:bCs/>
                <w:highlight w:val="lightGray"/>
              </w:rPr>
            </w:pPr>
          </w:p>
        </w:tc>
        <w:tc>
          <w:tcPr>
            <w:tcW w:w="1843"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124868AC" w14:textId="77777777" w:rsidR="00753987" w:rsidRPr="00CE4B7B" w:rsidRDefault="00753987" w:rsidP="00DC543A">
            <w:pPr>
              <w:rPr>
                <w:rFonts w:ascii="Arial" w:hAnsi="Arial" w:cs="Arial"/>
                <w:b/>
                <w:bCs/>
                <w:highlight w:val="lightGray"/>
              </w:rPr>
            </w:pPr>
          </w:p>
        </w:tc>
        <w:tc>
          <w:tcPr>
            <w:tcW w:w="3827" w:type="dxa"/>
            <w:tcBorders>
              <w:top w:val="single" w:sz="6" w:space="0" w:color="000000"/>
              <w:left w:val="single" w:sz="6" w:space="0" w:color="000000"/>
              <w:bottom w:val="single" w:sz="6" w:space="0" w:color="000000"/>
              <w:right w:val="single" w:sz="6" w:space="0" w:color="000000"/>
            </w:tcBorders>
          </w:tcPr>
          <w:p w14:paraId="7EE43C30" w14:textId="77777777" w:rsidR="00753987" w:rsidRPr="00CE4B7B" w:rsidRDefault="00753987" w:rsidP="00DC543A">
            <w:pPr>
              <w:ind w:left="113"/>
              <w:rPr>
                <w:rFonts w:ascii="Arial" w:hAnsi="Arial" w:cs="Arial"/>
                <w:b/>
                <w:bCs/>
                <w:highlight w:val="lightGray"/>
              </w:rPr>
            </w:pPr>
          </w:p>
        </w:tc>
        <w:tc>
          <w:tcPr>
            <w:tcW w:w="2552" w:type="dxa"/>
            <w:tcBorders>
              <w:top w:val="single" w:sz="6" w:space="0" w:color="000000"/>
              <w:left w:val="single" w:sz="6" w:space="0" w:color="000000"/>
              <w:bottom w:val="single" w:sz="6" w:space="0" w:color="000000"/>
              <w:right w:val="single" w:sz="6" w:space="0" w:color="000000"/>
            </w:tcBorders>
          </w:tcPr>
          <w:p w14:paraId="14E5F600" w14:textId="77777777" w:rsidR="00753987" w:rsidRPr="00CE4B7B" w:rsidRDefault="00753987" w:rsidP="00DC543A">
            <w:pPr>
              <w:ind w:left="113"/>
              <w:rPr>
                <w:rFonts w:ascii="Arial" w:hAnsi="Arial" w:cs="Arial"/>
                <w:b/>
                <w:bCs/>
                <w:highlight w:val="lightGray"/>
              </w:rPr>
            </w:pPr>
          </w:p>
        </w:tc>
      </w:tr>
    </w:tbl>
    <w:p w14:paraId="20295861" w14:textId="77777777" w:rsidR="00C74FF3" w:rsidRDefault="00C74FF3" w:rsidP="00753987">
      <w:pPr>
        <w:rPr>
          <w:rFonts w:ascii="Arial" w:hAnsi="Arial" w:cs="Arial"/>
          <w:b/>
          <w:bCs/>
          <w:color w:val="001441" w:themeColor="text1"/>
          <w:sz w:val="28"/>
          <w:szCs w:val="28"/>
        </w:rPr>
      </w:pPr>
    </w:p>
    <w:p w14:paraId="5A0B1D9B" w14:textId="7484A7E1" w:rsidR="00753987" w:rsidRPr="00A236A4" w:rsidRDefault="00753987" w:rsidP="00753987">
      <w:pPr>
        <w:rPr>
          <w:rFonts w:ascii="Arial" w:hAnsi="Arial" w:cs="Arial"/>
          <w:b/>
          <w:bCs/>
          <w:color w:val="001441" w:themeColor="text1"/>
          <w:sz w:val="28"/>
          <w:szCs w:val="28"/>
        </w:rPr>
      </w:pPr>
      <w:r w:rsidRPr="00A236A4">
        <w:rPr>
          <w:rFonts w:ascii="Arial" w:hAnsi="Arial" w:cs="Arial"/>
          <w:b/>
          <w:bCs/>
          <w:color w:val="001441" w:themeColor="text1"/>
          <w:sz w:val="28"/>
          <w:szCs w:val="28"/>
        </w:rPr>
        <w:t>Definitions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77"/>
        <w:gridCol w:w="7523"/>
      </w:tblGrid>
      <w:tr w:rsidR="00753987" w:rsidRPr="00AB540C" w14:paraId="0DC12C6C" w14:textId="77777777" w:rsidTr="00DC543A">
        <w:trPr>
          <w:tblHeader/>
        </w:trPr>
        <w:tc>
          <w:tcPr>
            <w:tcW w:w="1977" w:type="dxa"/>
            <w:tcBorders>
              <w:top w:val="single" w:sz="6" w:space="0" w:color="000000"/>
              <w:left w:val="single" w:sz="6" w:space="0" w:color="000000"/>
              <w:bottom w:val="single" w:sz="6" w:space="0" w:color="000000"/>
              <w:right w:val="single" w:sz="6" w:space="0" w:color="000000"/>
            </w:tcBorders>
            <w:shd w:val="clear" w:color="auto" w:fill="D9D9D9"/>
            <w:tcMar>
              <w:top w:w="100" w:type="dxa"/>
              <w:left w:w="140" w:type="dxa"/>
              <w:bottom w:w="100" w:type="dxa"/>
              <w:right w:w="140" w:type="dxa"/>
            </w:tcMar>
          </w:tcPr>
          <w:p w14:paraId="777B98A6" w14:textId="77777777" w:rsidR="00753987" w:rsidRPr="00AB540C" w:rsidRDefault="00753987" w:rsidP="00DC543A">
            <w:pPr>
              <w:spacing w:line="280" w:lineRule="auto"/>
              <w:rPr>
                <w:rFonts w:ascii="Arial" w:hAnsi="Arial" w:cs="Arial"/>
                <w:szCs w:val="20"/>
              </w:rPr>
            </w:pPr>
            <w:r>
              <w:rPr>
                <w:rFonts w:ascii="Arial" w:hAnsi="Arial" w:cs="Arial"/>
                <w:b/>
                <w:bCs/>
                <w:szCs w:val="20"/>
              </w:rPr>
              <w:t>Term</w:t>
            </w:r>
          </w:p>
        </w:tc>
        <w:tc>
          <w:tcPr>
            <w:tcW w:w="7523" w:type="dxa"/>
            <w:tcBorders>
              <w:top w:val="single" w:sz="6" w:space="0" w:color="000000"/>
              <w:left w:val="single" w:sz="6" w:space="0" w:color="000000"/>
              <w:bottom w:val="single" w:sz="6" w:space="0" w:color="000000"/>
              <w:right w:val="single" w:sz="6" w:space="0" w:color="000000"/>
            </w:tcBorders>
            <w:shd w:val="clear" w:color="auto" w:fill="D9D9D9"/>
            <w:tcMar>
              <w:top w:w="100" w:type="dxa"/>
              <w:left w:w="140" w:type="dxa"/>
              <w:bottom w:w="100" w:type="dxa"/>
              <w:right w:w="140" w:type="dxa"/>
            </w:tcMar>
          </w:tcPr>
          <w:p w14:paraId="5B9C143C" w14:textId="77777777" w:rsidR="00753987" w:rsidRPr="00AB540C" w:rsidRDefault="00753987" w:rsidP="00DC543A">
            <w:pPr>
              <w:spacing w:line="280" w:lineRule="auto"/>
              <w:rPr>
                <w:rFonts w:ascii="Arial" w:hAnsi="Arial" w:cs="Arial"/>
                <w:szCs w:val="20"/>
              </w:rPr>
            </w:pPr>
            <w:r>
              <w:rPr>
                <w:rFonts w:ascii="Arial" w:hAnsi="Arial" w:cs="Arial"/>
                <w:b/>
                <w:bCs/>
                <w:szCs w:val="20"/>
              </w:rPr>
              <w:t>Definition</w:t>
            </w:r>
          </w:p>
        </w:tc>
      </w:tr>
      <w:tr w:rsidR="00753987" w14:paraId="46A94B34" w14:textId="77777777" w:rsidTr="00DC543A">
        <w:tc>
          <w:tcPr>
            <w:tcW w:w="1977"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46D1F0EB" w14:textId="77777777" w:rsidR="00753987" w:rsidRDefault="00753987" w:rsidP="00DC543A">
            <w:pPr>
              <w:spacing w:line="280" w:lineRule="auto"/>
              <w:rPr>
                <w:rFonts w:ascii="Arial" w:hAnsi="Arial" w:cs="Arial"/>
                <w:szCs w:val="20"/>
              </w:rPr>
            </w:pPr>
            <w:r>
              <w:rPr>
                <w:rFonts w:ascii="Arial" w:hAnsi="Arial" w:cs="Arial"/>
                <w:b/>
                <w:bCs/>
                <w:szCs w:val="20"/>
              </w:rPr>
              <w:t>Artificial intelligence (AI)</w:t>
            </w:r>
          </w:p>
        </w:tc>
        <w:tc>
          <w:tcPr>
            <w:tcW w:w="7523"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7F143E5C" w14:textId="77777777" w:rsidR="00753987" w:rsidRDefault="00753987" w:rsidP="00DC543A">
            <w:pPr>
              <w:spacing w:line="280" w:lineRule="auto"/>
              <w:rPr>
                <w:rFonts w:ascii="Arial" w:hAnsi="Arial" w:cs="Arial"/>
                <w:szCs w:val="20"/>
              </w:rPr>
            </w:pPr>
            <w:r>
              <w:rPr>
                <w:rFonts w:ascii="Arial" w:hAnsi="Arial" w:cs="Arial"/>
                <w:szCs w:val="20"/>
              </w:rPr>
              <w:t>Computer systems that perform tasks normally requiring human intelligence, such as understanding language, recognising patterns, drafting text and making predictions. AI ranges from features embedded in existing software, including the clinical information system, to standalone applications and services.</w:t>
            </w:r>
          </w:p>
        </w:tc>
      </w:tr>
      <w:tr w:rsidR="00753987" w:rsidRPr="00AB540C" w14:paraId="5BFA4DC3" w14:textId="77777777" w:rsidTr="00DC543A">
        <w:tc>
          <w:tcPr>
            <w:tcW w:w="1977"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67B6E66D" w14:textId="77777777" w:rsidR="00753987" w:rsidRPr="00AB540C" w:rsidRDefault="00753987" w:rsidP="00DC543A">
            <w:pPr>
              <w:spacing w:line="280" w:lineRule="auto"/>
              <w:rPr>
                <w:rFonts w:ascii="Arial" w:hAnsi="Arial" w:cs="Arial"/>
                <w:szCs w:val="20"/>
              </w:rPr>
            </w:pPr>
            <w:r>
              <w:rPr>
                <w:rFonts w:ascii="Arial" w:hAnsi="Arial" w:cs="Arial"/>
                <w:b/>
                <w:bCs/>
                <w:szCs w:val="20"/>
              </w:rPr>
              <w:t xml:space="preserve">AI Governance Committee </w:t>
            </w:r>
            <w:r>
              <w:rPr>
                <w:rFonts w:ascii="Arial" w:hAnsi="Arial" w:cs="Arial"/>
                <w:szCs w:val="20"/>
              </w:rPr>
              <w:t>(or similar)</w:t>
            </w:r>
          </w:p>
        </w:tc>
        <w:tc>
          <w:tcPr>
            <w:tcW w:w="7523"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6EB2C9F2" w14:textId="77777777" w:rsidR="00753987" w:rsidRPr="00AB540C" w:rsidRDefault="00753987" w:rsidP="00DC543A">
            <w:pPr>
              <w:spacing w:line="280" w:lineRule="auto"/>
              <w:rPr>
                <w:rFonts w:ascii="Arial" w:hAnsi="Arial" w:cs="Arial"/>
                <w:szCs w:val="20"/>
              </w:rPr>
            </w:pPr>
            <w:r>
              <w:rPr>
                <w:rFonts w:ascii="Arial" w:hAnsi="Arial" w:cs="Arial"/>
                <w:szCs w:val="20"/>
              </w:rPr>
              <w:t>The body responsible for approving, overseeing and reviewing AI tool use within the Organisation. The Committee reports to the Board, consistent with Community Authority.</w:t>
            </w:r>
          </w:p>
        </w:tc>
      </w:tr>
      <w:tr w:rsidR="00753987" w:rsidRPr="00AB540C" w14:paraId="11ABEFA7" w14:textId="77777777" w:rsidTr="00DC543A">
        <w:tc>
          <w:tcPr>
            <w:tcW w:w="1977"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2C860DA1" w14:textId="77777777" w:rsidR="00753987" w:rsidRPr="00AB540C" w:rsidRDefault="00753987" w:rsidP="00DC543A">
            <w:pPr>
              <w:spacing w:line="280" w:lineRule="auto"/>
              <w:rPr>
                <w:rFonts w:ascii="Arial" w:hAnsi="Arial" w:cs="Arial"/>
                <w:b/>
                <w:bCs/>
                <w:szCs w:val="20"/>
              </w:rPr>
            </w:pPr>
            <w:r>
              <w:rPr>
                <w:rFonts w:ascii="Arial" w:hAnsi="Arial" w:cs="Arial"/>
                <w:b/>
                <w:bCs/>
                <w:szCs w:val="20"/>
              </w:rPr>
              <w:t>AI incident</w:t>
            </w:r>
          </w:p>
        </w:tc>
        <w:tc>
          <w:tcPr>
            <w:tcW w:w="7523"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2DC5A086" w14:textId="77777777" w:rsidR="00753987" w:rsidRPr="00AB540C" w:rsidRDefault="00753987" w:rsidP="00DC543A">
            <w:pPr>
              <w:spacing w:line="280" w:lineRule="auto"/>
              <w:rPr>
                <w:rFonts w:ascii="Arial" w:hAnsi="Arial" w:cs="Arial"/>
                <w:szCs w:val="20"/>
              </w:rPr>
            </w:pPr>
            <w:r>
              <w:rPr>
                <w:rFonts w:ascii="Arial" w:hAnsi="Arial" w:cs="Arial"/>
                <w:szCs w:val="20"/>
              </w:rPr>
              <w:t>An event where the development, use or malfunction of an AI tool directly or indirectly leads to: injury or harm to the health of a person or groups of people; culturally unsafe care or outputs; a breach of Indigenous Data Sovereignty obligations; a breach of privacy or other legal obligations; or harm to property, community or the environment. Near misses are AI incidents.</w:t>
            </w:r>
          </w:p>
        </w:tc>
      </w:tr>
      <w:tr w:rsidR="00753987" w:rsidRPr="00AB540C" w14:paraId="161486E4" w14:textId="77777777" w:rsidTr="00DC543A">
        <w:tc>
          <w:tcPr>
            <w:tcW w:w="1977"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0C158B46" w14:textId="77777777" w:rsidR="00753987" w:rsidRPr="00AB540C" w:rsidRDefault="00753987" w:rsidP="00DC543A">
            <w:pPr>
              <w:spacing w:line="280" w:lineRule="auto"/>
              <w:rPr>
                <w:rFonts w:ascii="Arial" w:hAnsi="Arial" w:cs="Arial"/>
                <w:b/>
                <w:bCs/>
                <w:szCs w:val="20"/>
              </w:rPr>
            </w:pPr>
            <w:r>
              <w:rPr>
                <w:rFonts w:ascii="Arial" w:hAnsi="Arial" w:cs="Arial"/>
                <w:b/>
                <w:bCs/>
                <w:szCs w:val="20"/>
              </w:rPr>
              <w:t>AI tool</w:t>
            </w:r>
          </w:p>
        </w:tc>
        <w:tc>
          <w:tcPr>
            <w:tcW w:w="7523"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318CB959" w14:textId="77777777" w:rsidR="00753987" w:rsidRPr="00AB540C" w:rsidRDefault="00753987" w:rsidP="00DC543A">
            <w:pPr>
              <w:spacing w:line="280" w:lineRule="auto"/>
              <w:rPr>
                <w:rFonts w:ascii="Arial" w:hAnsi="Arial" w:cs="Arial"/>
                <w:szCs w:val="20"/>
              </w:rPr>
            </w:pPr>
            <w:r>
              <w:rPr>
                <w:rFonts w:ascii="Arial" w:hAnsi="Arial" w:cs="Arial"/>
                <w:szCs w:val="20"/>
              </w:rPr>
              <w:t>Any software, model, application or service that uses artificial intelligence, including tools that predict, classify, generate content, transcribe, make recommendations or automate tasks. This includes embedded AI features within existing software platforms, such as a clinical information system or practice management system.</w:t>
            </w:r>
          </w:p>
          <w:p w14:paraId="7EAF58A8" w14:textId="77777777" w:rsidR="00753987" w:rsidRDefault="00753987" w:rsidP="00DC543A">
            <w:pPr>
              <w:spacing w:line="280" w:lineRule="auto"/>
              <w:rPr>
                <w:rFonts w:ascii="Arial" w:hAnsi="Arial" w:cs="Arial"/>
                <w:szCs w:val="20"/>
              </w:rPr>
            </w:pPr>
            <w:r>
              <w:rPr>
                <w:rFonts w:ascii="Arial" w:hAnsi="Arial" w:cs="Arial"/>
                <w:szCs w:val="20"/>
              </w:rPr>
              <w:t xml:space="preserve">For the purposes of this policy, AI tools fall into three categories: </w:t>
            </w:r>
          </w:p>
          <w:p w14:paraId="27E91041" w14:textId="77777777" w:rsidR="00753987" w:rsidRDefault="00753987" w:rsidP="00753987">
            <w:pPr>
              <w:pStyle w:val="ListParagraph"/>
              <w:numPr>
                <w:ilvl w:val="0"/>
                <w:numId w:val="22"/>
              </w:numPr>
              <w:tabs>
                <w:tab w:val="clear" w:pos="284"/>
                <w:tab w:val="clear" w:pos="567"/>
                <w:tab w:val="clear" w:pos="851"/>
              </w:tabs>
              <w:spacing w:after="0" w:line="280" w:lineRule="auto"/>
              <w:contextualSpacing w:val="0"/>
              <w:rPr>
                <w:rFonts w:ascii="Arial" w:hAnsi="Arial" w:cs="Arial"/>
                <w:szCs w:val="20"/>
              </w:rPr>
            </w:pPr>
            <w:r w:rsidRPr="00302BB0">
              <w:rPr>
                <w:rFonts w:ascii="Arial" w:hAnsi="Arial" w:cs="Arial"/>
                <w:b/>
                <w:bCs/>
                <w:szCs w:val="20"/>
              </w:rPr>
              <w:t>clinical</w:t>
            </w:r>
            <w:r w:rsidRPr="00302BB0">
              <w:rPr>
                <w:rFonts w:ascii="Arial" w:hAnsi="Arial" w:cs="Arial"/>
                <w:szCs w:val="20"/>
              </w:rPr>
              <w:t xml:space="preserve"> (used in a patient’s care, such as ambient scribes, decision support, triage)</w:t>
            </w:r>
          </w:p>
          <w:p w14:paraId="332164C2" w14:textId="77777777" w:rsidR="00753987" w:rsidRDefault="00753987" w:rsidP="00753987">
            <w:pPr>
              <w:pStyle w:val="ListParagraph"/>
              <w:numPr>
                <w:ilvl w:val="0"/>
                <w:numId w:val="22"/>
              </w:numPr>
              <w:tabs>
                <w:tab w:val="clear" w:pos="284"/>
                <w:tab w:val="clear" w:pos="567"/>
                <w:tab w:val="clear" w:pos="851"/>
              </w:tabs>
              <w:spacing w:after="0" w:line="280" w:lineRule="auto"/>
              <w:contextualSpacing w:val="0"/>
              <w:rPr>
                <w:rFonts w:ascii="Arial" w:hAnsi="Arial" w:cs="Arial"/>
                <w:szCs w:val="20"/>
              </w:rPr>
            </w:pPr>
            <w:r w:rsidRPr="00302BB0">
              <w:rPr>
                <w:rFonts w:ascii="Arial" w:hAnsi="Arial" w:cs="Arial"/>
                <w:b/>
                <w:bCs/>
                <w:szCs w:val="20"/>
              </w:rPr>
              <w:t>administrative</w:t>
            </w:r>
            <w:r w:rsidRPr="00302BB0">
              <w:rPr>
                <w:rFonts w:ascii="Arial" w:hAnsi="Arial" w:cs="Arial"/>
                <w:szCs w:val="20"/>
              </w:rPr>
              <w:t xml:space="preserve"> (handling patient information without being used in care, such as bookings, recalls, correspondence);</w:t>
            </w:r>
          </w:p>
          <w:p w14:paraId="23232378" w14:textId="77777777" w:rsidR="00753987" w:rsidRPr="00302BB0" w:rsidRDefault="00753987" w:rsidP="00753987">
            <w:pPr>
              <w:pStyle w:val="ListParagraph"/>
              <w:numPr>
                <w:ilvl w:val="0"/>
                <w:numId w:val="22"/>
              </w:numPr>
              <w:tabs>
                <w:tab w:val="clear" w:pos="284"/>
                <w:tab w:val="clear" w:pos="567"/>
                <w:tab w:val="clear" w:pos="851"/>
              </w:tabs>
              <w:spacing w:after="0" w:line="280" w:lineRule="auto"/>
              <w:contextualSpacing w:val="0"/>
              <w:rPr>
                <w:rFonts w:ascii="Arial" w:hAnsi="Arial" w:cs="Arial"/>
                <w:szCs w:val="20"/>
              </w:rPr>
            </w:pPr>
            <w:r w:rsidRPr="00302BB0">
              <w:rPr>
                <w:rFonts w:ascii="Arial" w:hAnsi="Arial" w:cs="Arial"/>
                <w:b/>
                <w:bCs/>
                <w:szCs w:val="20"/>
              </w:rPr>
              <w:t>organisational</w:t>
            </w:r>
            <w:r w:rsidRPr="00302BB0">
              <w:rPr>
                <w:rFonts w:ascii="Arial" w:hAnsi="Arial" w:cs="Arial"/>
                <w:szCs w:val="20"/>
              </w:rPr>
              <w:t xml:space="preserve"> (used for corporate, drafting or analytical work that does not involve patient data). Different controls in this policy apply to each category.</w:t>
            </w:r>
          </w:p>
        </w:tc>
      </w:tr>
      <w:tr w:rsidR="00753987" w:rsidRPr="00AB540C" w14:paraId="51B882C3" w14:textId="77777777" w:rsidTr="00DC543A">
        <w:tc>
          <w:tcPr>
            <w:tcW w:w="1977"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2C879991" w14:textId="77777777" w:rsidR="00753987" w:rsidRPr="00AB540C" w:rsidRDefault="00753987" w:rsidP="00DC543A">
            <w:pPr>
              <w:spacing w:line="280" w:lineRule="auto"/>
              <w:rPr>
                <w:rFonts w:ascii="Arial" w:hAnsi="Arial" w:cs="Arial"/>
                <w:b/>
                <w:bCs/>
                <w:szCs w:val="20"/>
              </w:rPr>
            </w:pPr>
            <w:r>
              <w:rPr>
                <w:rFonts w:ascii="Arial" w:hAnsi="Arial" w:cs="Arial"/>
                <w:b/>
                <w:bCs/>
                <w:szCs w:val="20"/>
              </w:rPr>
              <w:t>AI Tools Register</w:t>
            </w:r>
          </w:p>
        </w:tc>
        <w:tc>
          <w:tcPr>
            <w:tcW w:w="7523"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691B271D" w14:textId="77777777" w:rsidR="00753987" w:rsidRPr="00AB540C" w:rsidRDefault="00753987" w:rsidP="00DC543A">
            <w:pPr>
              <w:spacing w:line="280" w:lineRule="auto"/>
              <w:rPr>
                <w:rFonts w:ascii="Arial" w:hAnsi="Arial" w:cs="Arial"/>
                <w:szCs w:val="20"/>
              </w:rPr>
            </w:pPr>
            <w:r>
              <w:rPr>
                <w:rFonts w:ascii="Arial" w:hAnsi="Arial" w:cs="Arial"/>
                <w:szCs w:val="20"/>
              </w:rPr>
              <w:t xml:space="preserve">The Organisation's current list of approved AI tools, maintained on </w:t>
            </w:r>
            <w:r>
              <w:rPr>
                <w:rFonts w:ascii="Arial" w:hAnsi="Arial" w:cs="Arial"/>
                <w:b/>
                <w:bCs/>
                <w:szCs w:val="20"/>
                <w:highlight w:val="cyan"/>
              </w:rPr>
              <w:t>[Insert internal location, e.g. intranet]</w:t>
            </w:r>
            <w:r>
              <w:rPr>
                <w:rFonts w:ascii="Arial" w:hAnsi="Arial" w:cs="Arial"/>
                <w:szCs w:val="20"/>
              </w:rPr>
              <w:t xml:space="preserve"> The register records, for each tool: name and version; the named accountable officer; the approved purpose and use cases; data inputs, flows and processing locations, including any offshore transfer; consent requirements; the override protocol; training prerequisites; risk rating and controls in place; and the review date.</w:t>
            </w:r>
          </w:p>
        </w:tc>
      </w:tr>
      <w:tr w:rsidR="00753987" w:rsidRPr="00AB540C" w14:paraId="5B9A63A7" w14:textId="77777777" w:rsidTr="00DC543A">
        <w:tc>
          <w:tcPr>
            <w:tcW w:w="1977"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2E7D5D04" w14:textId="77777777" w:rsidR="00753987" w:rsidRPr="00AB540C" w:rsidRDefault="00753987" w:rsidP="00DC543A">
            <w:pPr>
              <w:spacing w:line="280" w:lineRule="auto"/>
              <w:rPr>
                <w:rFonts w:ascii="Arial" w:hAnsi="Arial" w:cs="Arial"/>
                <w:b/>
                <w:bCs/>
                <w:szCs w:val="20"/>
              </w:rPr>
            </w:pPr>
            <w:r>
              <w:rPr>
                <w:rFonts w:ascii="Arial" w:hAnsi="Arial" w:cs="Arial"/>
                <w:b/>
                <w:bCs/>
                <w:szCs w:val="20"/>
              </w:rPr>
              <w:t>AI Tool Safety Statement</w:t>
            </w:r>
          </w:p>
        </w:tc>
        <w:tc>
          <w:tcPr>
            <w:tcW w:w="7523"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1A6624B1" w14:textId="77777777" w:rsidR="00753987" w:rsidRPr="00AB540C" w:rsidRDefault="00753987" w:rsidP="00DC543A">
            <w:pPr>
              <w:spacing w:line="280" w:lineRule="auto"/>
              <w:rPr>
                <w:rFonts w:ascii="Arial" w:hAnsi="Arial" w:cs="Arial"/>
                <w:szCs w:val="20"/>
              </w:rPr>
            </w:pPr>
            <w:r>
              <w:rPr>
                <w:rFonts w:ascii="Arial" w:hAnsi="Arial" w:cs="Arial"/>
                <w:szCs w:val="20"/>
              </w:rPr>
              <w:t>A document approved by the AI Governance Committee that sets out the approved uses, data handling requirements, consent requirements and controls for a specific AI tool.</w:t>
            </w:r>
          </w:p>
        </w:tc>
      </w:tr>
      <w:tr w:rsidR="00753987" w:rsidRPr="00AB540C" w14:paraId="5F04B3B1" w14:textId="77777777" w:rsidTr="00DC543A">
        <w:tc>
          <w:tcPr>
            <w:tcW w:w="1977"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4CEDF734" w14:textId="77777777" w:rsidR="00753987" w:rsidRPr="00AB540C" w:rsidRDefault="00753987" w:rsidP="00DC543A">
            <w:pPr>
              <w:spacing w:line="280" w:lineRule="auto"/>
              <w:rPr>
                <w:rFonts w:ascii="Arial" w:hAnsi="Arial" w:cs="Arial"/>
                <w:szCs w:val="20"/>
              </w:rPr>
            </w:pPr>
            <w:r>
              <w:rPr>
                <w:rFonts w:ascii="Arial" w:hAnsi="Arial" w:cs="Arial"/>
                <w:b/>
                <w:bCs/>
                <w:szCs w:val="20"/>
              </w:rPr>
              <w:t>Approved AI tool</w:t>
            </w:r>
          </w:p>
        </w:tc>
        <w:tc>
          <w:tcPr>
            <w:tcW w:w="7523"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60315131" w14:textId="77777777" w:rsidR="00753987" w:rsidRPr="00AB540C" w:rsidRDefault="00753987" w:rsidP="00DC543A">
            <w:pPr>
              <w:spacing w:line="280" w:lineRule="auto"/>
              <w:rPr>
                <w:rFonts w:ascii="Arial" w:hAnsi="Arial" w:cs="Arial"/>
                <w:szCs w:val="20"/>
              </w:rPr>
            </w:pPr>
            <w:r>
              <w:rPr>
                <w:rFonts w:ascii="Arial" w:hAnsi="Arial" w:cs="Arial"/>
                <w:szCs w:val="20"/>
              </w:rPr>
              <w:t>An AI tool that has been assessed under the AI Governance Framework for ACCHOs, formally approved by the AI Governance Committee, and listed in the AI Tools Register.</w:t>
            </w:r>
          </w:p>
        </w:tc>
      </w:tr>
      <w:tr w:rsidR="00753987" w:rsidRPr="00AB540C" w14:paraId="5D247DC7" w14:textId="77777777" w:rsidTr="00DC543A">
        <w:tc>
          <w:tcPr>
            <w:tcW w:w="1977"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526E86E9" w14:textId="77777777" w:rsidR="00753987" w:rsidRPr="00AB540C" w:rsidRDefault="00753987" w:rsidP="00DC543A">
            <w:pPr>
              <w:spacing w:line="280" w:lineRule="auto"/>
              <w:rPr>
                <w:rFonts w:ascii="Arial" w:hAnsi="Arial" w:cs="Arial"/>
                <w:b/>
                <w:bCs/>
                <w:szCs w:val="20"/>
              </w:rPr>
            </w:pPr>
            <w:r>
              <w:rPr>
                <w:rFonts w:ascii="Arial" w:hAnsi="Arial" w:cs="Arial"/>
                <w:b/>
                <w:bCs/>
                <w:szCs w:val="20"/>
              </w:rPr>
              <w:lastRenderedPageBreak/>
              <w:t>Hallucinations</w:t>
            </w:r>
          </w:p>
        </w:tc>
        <w:tc>
          <w:tcPr>
            <w:tcW w:w="7523"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753A6AEA" w14:textId="77777777" w:rsidR="00753987" w:rsidRPr="00AB540C" w:rsidRDefault="00753987" w:rsidP="00DC543A">
            <w:pPr>
              <w:spacing w:line="280" w:lineRule="auto"/>
              <w:rPr>
                <w:rFonts w:ascii="Arial" w:hAnsi="Arial" w:cs="Arial"/>
                <w:szCs w:val="20"/>
              </w:rPr>
            </w:pPr>
            <w:r>
              <w:rPr>
                <w:rFonts w:ascii="Arial" w:hAnsi="Arial" w:cs="Arial"/>
                <w:szCs w:val="20"/>
              </w:rPr>
              <w:t>Output that reads as confident and factual but is wrong, fabricated, or cites sources that do not exist.</w:t>
            </w:r>
          </w:p>
        </w:tc>
      </w:tr>
      <w:tr w:rsidR="00753987" w:rsidRPr="00AB540C" w14:paraId="576D1B8E" w14:textId="77777777" w:rsidTr="00DC543A">
        <w:tc>
          <w:tcPr>
            <w:tcW w:w="1977"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5BFA355A" w14:textId="77777777" w:rsidR="00753987" w:rsidRDefault="00753987" w:rsidP="00DC543A">
            <w:pPr>
              <w:spacing w:line="280" w:lineRule="auto"/>
              <w:rPr>
                <w:rFonts w:ascii="Arial" w:hAnsi="Arial" w:cs="Arial"/>
                <w:b/>
                <w:bCs/>
                <w:szCs w:val="20"/>
              </w:rPr>
            </w:pPr>
            <w:r>
              <w:rPr>
                <w:rFonts w:ascii="Arial" w:hAnsi="Arial" w:cs="Arial"/>
                <w:b/>
                <w:bCs/>
                <w:szCs w:val="20"/>
              </w:rPr>
              <w:t>Human oversight</w:t>
            </w:r>
          </w:p>
        </w:tc>
        <w:tc>
          <w:tcPr>
            <w:tcW w:w="7523"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28DD936A" w14:textId="77777777" w:rsidR="00753987" w:rsidRDefault="00753987" w:rsidP="00DC543A">
            <w:pPr>
              <w:spacing w:line="280" w:lineRule="auto"/>
              <w:rPr>
                <w:rFonts w:ascii="Arial" w:hAnsi="Arial" w:cs="Arial"/>
                <w:szCs w:val="20"/>
              </w:rPr>
            </w:pPr>
            <w:r w:rsidRPr="00672D55">
              <w:rPr>
                <w:rFonts w:ascii="Arial" w:hAnsi="Arial" w:cs="Arial"/>
                <w:szCs w:val="20"/>
              </w:rPr>
              <w:t>A human is involved in the overall governance, determination and direction of an AI system or tool, and that oversight is always proportionate to the autonomy, sensitivity, risk and impact of the system. </w:t>
            </w:r>
          </w:p>
        </w:tc>
      </w:tr>
      <w:tr w:rsidR="00753987" w:rsidRPr="00AB540C" w14:paraId="4646DF40" w14:textId="77777777" w:rsidTr="00DC543A">
        <w:tc>
          <w:tcPr>
            <w:tcW w:w="1977"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0FC6EC75" w14:textId="77777777" w:rsidR="00753987" w:rsidRPr="00AB540C" w:rsidRDefault="00753987" w:rsidP="00DC543A">
            <w:pPr>
              <w:spacing w:line="280" w:lineRule="auto"/>
              <w:rPr>
                <w:rFonts w:ascii="Arial" w:hAnsi="Arial" w:cs="Arial"/>
                <w:szCs w:val="20"/>
              </w:rPr>
            </w:pPr>
            <w:r>
              <w:rPr>
                <w:rFonts w:ascii="Arial" w:hAnsi="Arial" w:cs="Arial"/>
                <w:b/>
                <w:bCs/>
                <w:szCs w:val="20"/>
              </w:rPr>
              <w:t>Indigenous Data Sovereignty (IDS)</w:t>
            </w:r>
          </w:p>
        </w:tc>
        <w:tc>
          <w:tcPr>
            <w:tcW w:w="7523"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5D69FE1F" w14:textId="77777777" w:rsidR="00753987" w:rsidRPr="00AB540C" w:rsidRDefault="00753987" w:rsidP="00DC543A">
            <w:pPr>
              <w:spacing w:line="280" w:lineRule="auto"/>
              <w:rPr>
                <w:rFonts w:ascii="Arial" w:hAnsi="Arial" w:cs="Arial"/>
                <w:szCs w:val="20"/>
              </w:rPr>
            </w:pPr>
            <w:r>
              <w:rPr>
                <w:rFonts w:ascii="Arial" w:hAnsi="Arial" w:cs="Arial"/>
                <w:szCs w:val="20"/>
              </w:rPr>
              <w:t>The right of Aboriginal and Torres Strait Islander people to govern the collection, ownership and use of data about their peoples, communities and lands,</w:t>
            </w:r>
          </w:p>
        </w:tc>
      </w:tr>
      <w:tr w:rsidR="00753987" w:rsidRPr="00AB540C" w14:paraId="2B02BBE0" w14:textId="77777777" w:rsidTr="00DC543A">
        <w:tc>
          <w:tcPr>
            <w:tcW w:w="1977"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27EF7AFC" w14:textId="77777777" w:rsidR="00753987" w:rsidRPr="00AB540C" w:rsidRDefault="00753987" w:rsidP="00DC543A">
            <w:pPr>
              <w:spacing w:line="280" w:lineRule="auto"/>
              <w:rPr>
                <w:rFonts w:ascii="Arial" w:hAnsi="Arial" w:cs="Arial"/>
                <w:szCs w:val="20"/>
              </w:rPr>
            </w:pPr>
            <w:r>
              <w:rPr>
                <w:rFonts w:ascii="Arial" w:hAnsi="Arial" w:cs="Arial"/>
                <w:b/>
                <w:bCs/>
                <w:szCs w:val="20"/>
              </w:rPr>
              <w:t>Output</w:t>
            </w:r>
          </w:p>
        </w:tc>
        <w:tc>
          <w:tcPr>
            <w:tcW w:w="7523"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294DDC22" w14:textId="77777777" w:rsidR="00753987" w:rsidRPr="00AB540C" w:rsidRDefault="00753987" w:rsidP="00DC543A">
            <w:pPr>
              <w:spacing w:line="280" w:lineRule="auto"/>
              <w:rPr>
                <w:rFonts w:ascii="Arial" w:hAnsi="Arial" w:cs="Arial"/>
                <w:szCs w:val="20"/>
              </w:rPr>
            </w:pPr>
            <w:r>
              <w:rPr>
                <w:rFonts w:ascii="Arial" w:hAnsi="Arial" w:cs="Arial"/>
                <w:szCs w:val="20"/>
              </w:rPr>
              <w:t>Any content produced by an AI tool, including text, clinical notes, images, summaries, transcripts, data extracts or other materials. All outputs must be treated as unverified until reviewed by a person.</w:t>
            </w:r>
          </w:p>
        </w:tc>
      </w:tr>
      <w:tr w:rsidR="00753987" w:rsidRPr="00AB540C" w14:paraId="72AD5DB0" w14:textId="77777777" w:rsidTr="00DC543A">
        <w:tc>
          <w:tcPr>
            <w:tcW w:w="1977"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22EE4AB5" w14:textId="77777777" w:rsidR="00753987" w:rsidRPr="00AB540C" w:rsidRDefault="00753987" w:rsidP="00DC543A">
            <w:pPr>
              <w:spacing w:line="280" w:lineRule="auto"/>
              <w:rPr>
                <w:rFonts w:ascii="Arial" w:hAnsi="Arial" w:cs="Arial"/>
                <w:szCs w:val="20"/>
              </w:rPr>
            </w:pPr>
            <w:r>
              <w:rPr>
                <w:rFonts w:ascii="Arial" w:hAnsi="Arial" w:cs="Arial"/>
                <w:b/>
                <w:bCs/>
                <w:szCs w:val="20"/>
              </w:rPr>
              <w:t>Shadow AI</w:t>
            </w:r>
          </w:p>
        </w:tc>
        <w:tc>
          <w:tcPr>
            <w:tcW w:w="7523" w:type="dxa"/>
            <w:tcBorders>
              <w:top w:val="single" w:sz="6" w:space="0" w:color="000000"/>
              <w:left w:val="single" w:sz="6" w:space="0" w:color="000000"/>
              <w:bottom w:val="single" w:sz="6" w:space="0" w:color="000000"/>
              <w:right w:val="single" w:sz="6" w:space="0" w:color="000000"/>
            </w:tcBorders>
            <w:tcMar>
              <w:top w:w="100" w:type="dxa"/>
              <w:left w:w="140" w:type="dxa"/>
              <w:bottom w:w="100" w:type="dxa"/>
              <w:right w:w="140" w:type="dxa"/>
            </w:tcMar>
          </w:tcPr>
          <w:p w14:paraId="2AB4BC6D" w14:textId="77777777" w:rsidR="00753987" w:rsidRPr="00AB540C" w:rsidRDefault="00753987" w:rsidP="00DC543A">
            <w:pPr>
              <w:spacing w:line="280" w:lineRule="auto"/>
              <w:rPr>
                <w:rFonts w:ascii="Arial" w:hAnsi="Arial" w:cs="Arial"/>
                <w:szCs w:val="20"/>
              </w:rPr>
            </w:pPr>
            <w:r>
              <w:rPr>
                <w:rFonts w:ascii="Arial" w:hAnsi="Arial" w:cs="Arial"/>
                <w:szCs w:val="20"/>
              </w:rPr>
              <w:t>The use of AI tools by staff for work purposes without the knowledge or approval of the Organisation. Shadow AI is prohibited under this policy.</w:t>
            </w:r>
          </w:p>
        </w:tc>
      </w:tr>
    </w:tbl>
    <w:p w14:paraId="7FF01CB3" w14:textId="77777777" w:rsidR="00753987" w:rsidRDefault="00753987" w:rsidP="00753987">
      <w:pPr>
        <w:rPr>
          <w:rFonts w:ascii="Arial" w:hAnsi="Arial" w:cs="Arial"/>
          <w:b/>
          <w:bCs/>
          <w:color w:val="0F2940"/>
          <w:sz w:val="28"/>
          <w:szCs w:val="28"/>
        </w:rPr>
      </w:pPr>
      <w:r>
        <w:rPr>
          <w:rFonts w:ascii="Arial" w:hAnsi="Arial" w:cs="Arial"/>
          <w:b/>
          <w:bCs/>
          <w:color w:val="0F2940"/>
          <w:sz w:val="28"/>
          <w:szCs w:val="28"/>
        </w:rPr>
        <w:br w:type="page"/>
      </w:r>
    </w:p>
    <w:p w14:paraId="3989F14B" w14:textId="77777777" w:rsidR="00753987" w:rsidRPr="003C0A9E" w:rsidRDefault="00753987" w:rsidP="00753987">
      <w:pPr>
        <w:pStyle w:val="Heading2"/>
        <w:numPr>
          <w:ilvl w:val="0"/>
          <w:numId w:val="25"/>
        </w:numPr>
        <w:rPr>
          <w:color w:val="001441" w:themeColor="text1"/>
        </w:rPr>
      </w:pPr>
      <w:bookmarkStart w:id="301" w:name="_Toc238474919"/>
      <w:bookmarkStart w:id="302" w:name="_Toc238475833"/>
      <w:bookmarkStart w:id="303" w:name="_Toc238562151"/>
      <w:bookmarkStart w:id="304" w:name="_Toc238564229"/>
      <w:bookmarkStart w:id="305" w:name="_Toc239257334"/>
      <w:bookmarkStart w:id="306" w:name="_Toc239257437"/>
      <w:bookmarkStart w:id="307" w:name="_Toc239257538"/>
      <w:bookmarkStart w:id="308" w:name="_Toc240894375"/>
      <w:bookmarkStart w:id="309" w:name="_Toc240894591"/>
      <w:bookmarkStart w:id="310" w:name="_Toc240897433"/>
      <w:bookmarkStart w:id="311" w:name="_Toc240897586"/>
      <w:bookmarkStart w:id="312" w:name="_Toc240956404"/>
      <w:r w:rsidRPr="003C0A9E">
        <w:rPr>
          <w:color w:val="001441" w:themeColor="text1"/>
        </w:rPr>
        <w:lastRenderedPageBreak/>
        <w:t>Purpose and overview</w:t>
      </w:r>
      <w:bookmarkEnd w:id="301"/>
      <w:bookmarkEnd w:id="302"/>
      <w:bookmarkEnd w:id="303"/>
      <w:bookmarkEnd w:id="304"/>
      <w:bookmarkEnd w:id="305"/>
      <w:bookmarkEnd w:id="306"/>
      <w:bookmarkEnd w:id="307"/>
      <w:bookmarkEnd w:id="308"/>
      <w:bookmarkEnd w:id="309"/>
      <w:bookmarkEnd w:id="310"/>
      <w:bookmarkEnd w:id="311"/>
      <w:bookmarkEnd w:id="312"/>
    </w:p>
    <w:p w14:paraId="7BFAA43B" w14:textId="77777777" w:rsidR="00753987" w:rsidRDefault="00753987" w:rsidP="00753987">
      <w:pPr>
        <w:spacing w:after="140" w:line="300" w:lineRule="auto"/>
        <w:rPr>
          <w:rFonts w:ascii="Arial" w:hAnsi="Arial" w:cs="Arial"/>
        </w:rPr>
      </w:pPr>
      <w:r>
        <w:rPr>
          <w:rFonts w:ascii="Arial" w:hAnsi="Arial" w:cs="Arial"/>
        </w:rPr>
        <w:t xml:space="preserve">This policy sets out the conditions for </w:t>
      </w:r>
      <w:r>
        <w:rPr>
          <w:rFonts w:ascii="Arial" w:hAnsi="Arial" w:cs="Arial"/>
          <w:b/>
          <w:bCs/>
          <w:color w:val="001441" w:themeColor="text1"/>
          <w:highlight w:val="cyan"/>
        </w:rPr>
        <w:t>[Organisation name]</w:t>
      </w:r>
      <w:r>
        <w:rPr>
          <w:rFonts w:ascii="Arial" w:hAnsi="Arial" w:cs="Arial"/>
          <w:color w:val="001441" w:themeColor="text1"/>
        </w:rPr>
        <w:t xml:space="preserve"> </w:t>
      </w:r>
      <w:r>
        <w:rPr>
          <w:rFonts w:ascii="Arial" w:hAnsi="Arial" w:cs="Arial"/>
        </w:rPr>
        <w:t xml:space="preserve">(the Organisation) to use AI tools where they genuinely improve care and service delivery, on terms that are culturally safe, clinically appropriate and accountable to community. It applies to clinical and organisational uses of AI alike, from clinical documentation and decision support to bookings, correspondence and other administrative functions. </w:t>
      </w:r>
    </w:p>
    <w:p w14:paraId="597B7167" w14:textId="77777777" w:rsidR="00753987" w:rsidRPr="00431DC0" w:rsidRDefault="00753987" w:rsidP="00753987">
      <w:pPr>
        <w:spacing w:after="140" w:line="300" w:lineRule="auto"/>
        <w:rPr>
          <w:rFonts w:ascii="Arial" w:hAnsi="Arial" w:cs="Arial"/>
        </w:rPr>
      </w:pPr>
      <w:r>
        <w:rPr>
          <w:rFonts w:ascii="Arial" w:hAnsi="Arial" w:cs="Arial"/>
        </w:rPr>
        <w:t>ACCHOs hold an elevated responsibility when adopting AI: the data these tools consume and generate carries cultural, community and sovereignty obligations, and the populations they serve can be exposed to risks of AI tools trained on non-representative data.  AI tools, and the rules that apply to them, will keep changing. This policy will be revised as the technology develops, as best practice and the regulatory environment mature, and as the Organisation’s experience and AI maturity grow.</w:t>
      </w:r>
    </w:p>
    <w:p w14:paraId="6FBA73ED" w14:textId="77777777" w:rsidR="00753987" w:rsidRPr="00BE0688" w:rsidRDefault="00753987" w:rsidP="00753987">
      <w:pPr>
        <w:spacing w:line="300" w:lineRule="auto"/>
        <w:rPr>
          <w:rFonts w:ascii="Arial" w:hAnsi="Arial" w:cs="Arial"/>
        </w:rPr>
      </w:pPr>
      <w:r>
        <w:rPr>
          <w:rFonts w:ascii="Arial" w:hAnsi="Arial" w:cs="Arial"/>
        </w:rPr>
        <w:t>This policy is designed to give operational effect to the AI Governance Framework for ACCHOs. The Framework sets out what the Organisation should be able to answer about any AI tool inserted into a clinical, administrative or organisational workflow; whereas this policy sets out how the Organisation governs AI use day-to-day. The two documents are designed to be read and actioned together.</w:t>
      </w:r>
    </w:p>
    <w:p w14:paraId="5EFE406F" w14:textId="77777777" w:rsidR="00753987" w:rsidRPr="00BE0688" w:rsidRDefault="00753987" w:rsidP="00753987">
      <w:pPr>
        <w:spacing w:line="300" w:lineRule="auto"/>
        <w:rPr>
          <w:rFonts w:ascii="Arial" w:hAnsi="Arial" w:cs="Arial"/>
        </w:rPr>
      </w:pPr>
      <w:r>
        <w:rPr>
          <w:rFonts w:ascii="Arial" w:hAnsi="Arial" w:cs="Arial"/>
        </w:rPr>
        <w:t>This policy aims to:</w:t>
      </w:r>
    </w:p>
    <w:p w14:paraId="5AFACD8C" w14:textId="77777777" w:rsidR="00753987" w:rsidRPr="008132BA" w:rsidRDefault="00753987" w:rsidP="00753987">
      <w:pPr>
        <w:pStyle w:val="ListParagraph"/>
        <w:numPr>
          <w:ilvl w:val="0"/>
          <w:numId w:val="20"/>
        </w:numPr>
        <w:tabs>
          <w:tab w:val="clear" w:pos="284"/>
          <w:tab w:val="clear" w:pos="567"/>
          <w:tab w:val="clear" w:pos="851"/>
        </w:tabs>
        <w:spacing w:after="100" w:line="300" w:lineRule="auto"/>
        <w:contextualSpacing w:val="0"/>
        <w:rPr>
          <w:rFonts w:ascii="Arial" w:hAnsi="Arial" w:cs="Arial"/>
        </w:rPr>
      </w:pPr>
      <w:r>
        <w:rPr>
          <w:rFonts w:ascii="Arial" w:hAnsi="Arial" w:cs="Arial"/>
        </w:rPr>
        <w:t>protect patient, community and Organisation information across the lifecycle of every AI tool;</w:t>
      </w:r>
    </w:p>
    <w:p w14:paraId="62AC4AED" w14:textId="77777777" w:rsidR="00753987" w:rsidRPr="008132BA" w:rsidRDefault="00753987" w:rsidP="00753987">
      <w:pPr>
        <w:pStyle w:val="ListParagraph"/>
        <w:numPr>
          <w:ilvl w:val="0"/>
          <w:numId w:val="20"/>
        </w:numPr>
        <w:tabs>
          <w:tab w:val="clear" w:pos="284"/>
          <w:tab w:val="clear" w:pos="567"/>
          <w:tab w:val="clear" w:pos="851"/>
        </w:tabs>
        <w:spacing w:after="100" w:line="300" w:lineRule="auto"/>
        <w:contextualSpacing w:val="0"/>
        <w:rPr>
          <w:rFonts w:ascii="Arial" w:hAnsi="Arial" w:cs="Arial"/>
        </w:rPr>
      </w:pPr>
      <w:r>
        <w:rPr>
          <w:rFonts w:ascii="Arial" w:hAnsi="Arial" w:cs="Arial"/>
        </w:rPr>
        <w:t>uphold Indigenous Data Sovereignty, Cultural Safety and Community Authority in every use of AI;</w:t>
      </w:r>
    </w:p>
    <w:p w14:paraId="06C3427D" w14:textId="77777777" w:rsidR="00753987" w:rsidRPr="008132BA" w:rsidRDefault="00753987" w:rsidP="00753987">
      <w:pPr>
        <w:pStyle w:val="ListParagraph"/>
        <w:numPr>
          <w:ilvl w:val="0"/>
          <w:numId w:val="20"/>
        </w:numPr>
        <w:tabs>
          <w:tab w:val="clear" w:pos="284"/>
          <w:tab w:val="clear" w:pos="567"/>
          <w:tab w:val="clear" w:pos="851"/>
        </w:tabs>
        <w:spacing w:after="100" w:line="300" w:lineRule="auto"/>
        <w:contextualSpacing w:val="0"/>
        <w:rPr>
          <w:rFonts w:ascii="Arial" w:hAnsi="Arial" w:cs="Arial"/>
        </w:rPr>
      </w:pPr>
      <w:r>
        <w:rPr>
          <w:rFonts w:ascii="Arial" w:hAnsi="Arial" w:cs="Arial"/>
        </w:rPr>
        <w:t>support staff to use approved AI tools well, where they add value to care and service delivery; and</w:t>
      </w:r>
    </w:p>
    <w:p w14:paraId="0BDA6777" w14:textId="77777777" w:rsidR="00753987" w:rsidRDefault="00753987" w:rsidP="00753987">
      <w:pPr>
        <w:pStyle w:val="ListParagraph"/>
        <w:numPr>
          <w:ilvl w:val="0"/>
          <w:numId w:val="20"/>
        </w:numPr>
        <w:tabs>
          <w:tab w:val="clear" w:pos="284"/>
          <w:tab w:val="clear" w:pos="567"/>
          <w:tab w:val="clear" w:pos="851"/>
        </w:tabs>
        <w:spacing w:after="100" w:line="300" w:lineRule="auto"/>
        <w:contextualSpacing w:val="0"/>
        <w:rPr>
          <w:rFonts w:ascii="Arial" w:hAnsi="Arial" w:cs="Arial"/>
        </w:rPr>
      </w:pPr>
      <w:r>
        <w:rPr>
          <w:rFonts w:ascii="Arial" w:hAnsi="Arial" w:cs="Arial"/>
        </w:rPr>
        <w:t>ensure the risks of each AI tool are identified before deployment and governed over its lifecycle.</w:t>
      </w:r>
    </w:p>
    <w:p w14:paraId="54C00098" w14:textId="77777777" w:rsidR="00753987" w:rsidRPr="00E8655A" w:rsidRDefault="00753987" w:rsidP="00753987">
      <w:pPr>
        <w:pStyle w:val="ListParagraph"/>
        <w:numPr>
          <w:ilvl w:val="0"/>
          <w:numId w:val="20"/>
        </w:numPr>
        <w:tabs>
          <w:tab w:val="clear" w:pos="284"/>
          <w:tab w:val="clear" w:pos="567"/>
          <w:tab w:val="clear" w:pos="851"/>
        </w:tabs>
        <w:spacing w:after="100" w:line="300" w:lineRule="auto"/>
        <w:contextualSpacing w:val="0"/>
        <w:rPr>
          <w:rFonts w:ascii="Arial" w:hAnsi="Arial" w:cs="Arial"/>
        </w:rPr>
      </w:pPr>
      <w:r>
        <w:rPr>
          <w:rFonts w:ascii="Arial" w:hAnsi="Arial" w:cs="Arial"/>
        </w:rPr>
        <w:t>give ACCHO staff the autonomy to choose when to use AI or not use it all.</w:t>
      </w:r>
    </w:p>
    <w:p w14:paraId="64E3A22E" w14:textId="77777777" w:rsidR="00753987" w:rsidRPr="003C0A9E" w:rsidRDefault="00753987" w:rsidP="00753987">
      <w:pPr>
        <w:pStyle w:val="Heading2"/>
        <w:numPr>
          <w:ilvl w:val="0"/>
          <w:numId w:val="25"/>
        </w:numPr>
        <w:rPr>
          <w:color w:val="001441" w:themeColor="text1"/>
        </w:rPr>
      </w:pPr>
      <w:bookmarkStart w:id="313" w:name="_Toc238474920"/>
      <w:bookmarkStart w:id="314" w:name="_Toc238475834"/>
      <w:bookmarkStart w:id="315" w:name="_Toc238562152"/>
      <w:bookmarkStart w:id="316" w:name="_Toc238564230"/>
      <w:bookmarkStart w:id="317" w:name="_Toc239257335"/>
      <w:bookmarkStart w:id="318" w:name="_Toc239257438"/>
      <w:bookmarkStart w:id="319" w:name="_Toc239257539"/>
      <w:bookmarkStart w:id="320" w:name="_Toc240894376"/>
      <w:bookmarkStart w:id="321" w:name="_Toc240894592"/>
      <w:bookmarkStart w:id="322" w:name="_Toc240897434"/>
      <w:bookmarkStart w:id="323" w:name="_Toc240897587"/>
      <w:bookmarkStart w:id="324" w:name="_Toc240956405"/>
      <w:r w:rsidRPr="003C0A9E">
        <w:rPr>
          <w:color w:val="001441" w:themeColor="text1"/>
        </w:rPr>
        <w:t>Policy application</w:t>
      </w:r>
      <w:bookmarkEnd w:id="313"/>
      <w:bookmarkEnd w:id="314"/>
      <w:bookmarkEnd w:id="315"/>
      <w:bookmarkEnd w:id="316"/>
      <w:bookmarkEnd w:id="317"/>
      <w:bookmarkEnd w:id="318"/>
      <w:bookmarkEnd w:id="319"/>
      <w:bookmarkEnd w:id="320"/>
      <w:bookmarkEnd w:id="321"/>
      <w:bookmarkEnd w:id="322"/>
      <w:bookmarkEnd w:id="323"/>
      <w:bookmarkEnd w:id="324"/>
    </w:p>
    <w:p w14:paraId="0BD1AC2F" w14:textId="77777777" w:rsidR="00753987" w:rsidRPr="007A5F72" w:rsidRDefault="00753987" w:rsidP="00753987">
      <w:pPr>
        <w:pStyle w:val="ListParagraph"/>
        <w:numPr>
          <w:ilvl w:val="1"/>
          <w:numId w:val="25"/>
        </w:numPr>
        <w:tabs>
          <w:tab w:val="clear" w:pos="284"/>
          <w:tab w:val="clear" w:pos="567"/>
          <w:tab w:val="clear" w:pos="851"/>
        </w:tabs>
        <w:spacing w:line="300" w:lineRule="auto"/>
        <w:contextualSpacing w:val="0"/>
        <w:rPr>
          <w:rFonts w:ascii="Arial" w:hAnsi="Arial" w:cs="Arial"/>
        </w:rPr>
      </w:pPr>
      <w:r w:rsidRPr="007A5F72">
        <w:rPr>
          <w:rFonts w:ascii="Arial" w:hAnsi="Arial" w:cs="Arial"/>
        </w:rPr>
        <w:t>This policy applies to:</w:t>
      </w:r>
    </w:p>
    <w:p w14:paraId="05C74904" w14:textId="77777777" w:rsidR="00753987" w:rsidRPr="008132BA" w:rsidRDefault="00753987" w:rsidP="00753987">
      <w:pPr>
        <w:pStyle w:val="ListParagraph"/>
        <w:numPr>
          <w:ilvl w:val="0"/>
          <w:numId w:val="20"/>
        </w:numPr>
        <w:tabs>
          <w:tab w:val="clear" w:pos="284"/>
          <w:tab w:val="clear" w:pos="567"/>
          <w:tab w:val="clear" w:pos="851"/>
        </w:tabs>
        <w:spacing w:after="100" w:line="300" w:lineRule="auto"/>
        <w:contextualSpacing w:val="0"/>
        <w:rPr>
          <w:rFonts w:ascii="Arial" w:hAnsi="Arial" w:cs="Arial"/>
        </w:rPr>
      </w:pPr>
      <w:r>
        <w:rPr>
          <w:rFonts w:ascii="Arial" w:hAnsi="Arial" w:cs="Arial"/>
        </w:rPr>
        <w:t>all employees (full-time, part-time and casual), including clinical staff, allied health, administrative and corporate staff;</w:t>
      </w:r>
    </w:p>
    <w:p w14:paraId="4948CBEF" w14:textId="77777777" w:rsidR="00753987" w:rsidRPr="008132BA" w:rsidRDefault="00753987" w:rsidP="00753987">
      <w:pPr>
        <w:pStyle w:val="ListParagraph"/>
        <w:numPr>
          <w:ilvl w:val="0"/>
          <w:numId w:val="20"/>
        </w:numPr>
        <w:tabs>
          <w:tab w:val="clear" w:pos="284"/>
          <w:tab w:val="clear" w:pos="567"/>
          <w:tab w:val="clear" w:pos="851"/>
        </w:tabs>
        <w:spacing w:after="100" w:line="300" w:lineRule="auto"/>
        <w:contextualSpacing w:val="0"/>
        <w:rPr>
          <w:rFonts w:ascii="Arial" w:hAnsi="Arial" w:cs="Arial"/>
        </w:rPr>
      </w:pPr>
      <w:r>
        <w:rPr>
          <w:rFonts w:ascii="Arial" w:hAnsi="Arial" w:cs="Arial"/>
        </w:rPr>
        <w:t>Board members, contractors, consultants, students, volunteers and any other individuals performing work for the Organisation;</w:t>
      </w:r>
    </w:p>
    <w:p w14:paraId="08C4737C" w14:textId="77777777" w:rsidR="00753987" w:rsidRPr="008132BA" w:rsidRDefault="00753987" w:rsidP="00753987">
      <w:pPr>
        <w:pStyle w:val="ListParagraph"/>
        <w:numPr>
          <w:ilvl w:val="0"/>
          <w:numId w:val="20"/>
        </w:numPr>
        <w:tabs>
          <w:tab w:val="clear" w:pos="284"/>
          <w:tab w:val="clear" w:pos="567"/>
          <w:tab w:val="clear" w:pos="851"/>
        </w:tabs>
        <w:spacing w:after="100" w:line="300" w:lineRule="auto"/>
        <w:contextualSpacing w:val="0"/>
        <w:rPr>
          <w:rFonts w:ascii="Arial" w:hAnsi="Arial" w:cs="Arial"/>
        </w:rPr>
      </w:pPr>
      <w:r>
        <w:rPr>
          <w:rFonts w:ascii="Arial" w:hAnsi="Arial" w:cs="Arial"/>
        </w:rPr>
        <w:t>third parties who access the Organisation's systems, networks or data; and</w:t>
      </w:r>
    </w:p>
    <w:p w14:paraId="738EFF7C" w14:textId="77777777" w:rsidR="00753987" w:rsidRPr="008132BA" w:rsidRDefault="00753987" w:rsidP="00753987">
      <w:pPr>
        <w:pStyle w:val="ListParagraph"/>
        <w:numPr>
          <w:ilvl w:val="0"/>
          <w:numId w:val="20"/>
        </w:numPr>
        <w:tabs>
          <w:tab w:val="clear" w:pos="284"/>
          <w:tab w:val="clear" w:pos="567"/>
          <w:tab w:val="clear" w:pos="851"/>
        </w:tabs>
        <w:spacing w:after="100" w:line="300" w:lineRule="auto"/>
        <w:contextualSpacing w:val="0"/>
        <w:rPr>
          <w:rFonts w:ascii="Arial" w:hAnsi="Arial" w:cs="Arial"/>
        </w:rPr>
      </w:pPr>
      <w:r>
        <w:rPr>
          <w:rFonts w:ascii="Arial" w:hAnsi="Arial" w:cs="Arial"/>
        </w:rPr>
        <w:t>any other person the Organisation has advised is covered by this policy.</w:t>
      </w:r>
    </w:p>
    <w:p w14:paraId="4FEC3507" w14:textId="77777777" w:rsidR="00753987" w:rsidRPr="007A5F72" w:rsidRDefault="00753987" w:rsidP="00753987">
      <w:pPr>
        <w:pStyle w:val="ListParagraph"/>
        <w:numPr>
          <w:ilvl w:val="1"/>
          <w:numId w:val="25"/>
        </w:numPr>
        <w:tabs>
          <w:tab w:val="clear" w:pos="284"/>
          <w:tab w:val="clear" w:pos="567"/>
          <w:tab w:val="clear" w:pos="851"/>
        </w:tabs>
        <w:spacing w:line="300" w:lineRule="auto"/>
        <w:contextualSpacing w:val="0"/>
        <w:rPr>
          <w:rFonts w:ascii="Arial" w:hAnsi="Arial" w:cs="Arial"/>
        </w:rPr>
      </w:pPr>
      <w:r w:rsidRPr="007A5F72">
        <w:rPr>
          <w:rFonts w:ascii="Arial" w:hAnsi="Arial" w:cs="Arial"/>
        </w:rPr>
        <w:t>This policy applies whenever AI tools are used:</w:t>
      </w:r>
    </w:p>
    <w:p w14:paraId="33BB267C" w14:textId="77777777" w:rsidR="00753987" w:rsidRPr="008132BA" w:rsidRDefault="00753987" w:rsidP="00753987">
      <w:pPr>
        <w:pStyle w:val="ListParagraph"/>
        <w:numPr>
          <w:ilvl w:val="0"/>
          <w:numId w:val="20"/>
        </w:numPr>
        <w:tabs>
          <w:tab w:val="clear" w:pos="284"/>
          <w:tab w:val="clear" w:pos="567"/>
          <w:tab w:val="clear" w:pos="851"/>
        </w:tabs>
        <w:spacing w:after="100" w:line="300" w:lineRule="auto"/>
        <w:contextualSpacing w:val="0"/>
        <w:rPr>
          <w:rFonts w:ascii="Arial" w:hAnsi="Arial" w:cs="Arial"/>
        </w:rPr>
      </w:pPr>
      <w:r>
        <w:rPr>
          <w:rFonts w:ascii="Arial" w:hAnsi="Arial" w:cs="Arial"/>
        </w:rPr>
        <w:t>on Organisation systems, devices or networks;</w:t>
      </w:r>
    </w:p>
    <w:p w14:paraId="2DC02DD4" w14:textId="77777777" w:rsidR="00753987" w:rsidRPr="008132BA" w:rsidRDefault="00753987" w:rsidP="00753987">
      <w:pPr>
        <w:pStyle w:val="ListParagraph"/>
        <w:numPr>
          <w:ilvl w:val="0"/>
          <w:numId w:val="20"/>
        </w:numPr>
        <w:tabs>
          <w:tab w:val="clear" w:pos="284"/>
          <w:tab w:val="clear" w:pos="567"/>
          <w:tab w:val="clear" w:pos="851"/>
        </w:tabs>
        <w:spacing w:after="100" w:line="300" w:lineRule="auto"/>
        <w:contextualSpacing w:val="0"/>
        <w:rPr>
          <w:rFonts w:ascii="Arial" w:hAnsi="Arial" w:cs="Arial"/>
        </w:rPr>
      </w:pPr>
      <w:r>
        <w:rPr>
          <w:rFonts w:ascii="Arial" w:hAnsi="Arial" w:cs="Arial"/>
        </w:rPr>
        <w:t>to carry out work for or on behalf of the Organisation; or</w:t>
      </w:r>
    </w:p>
    <w:p w14:paraId="40AADC22" w14:textId="77777777" w:rsidR="00753987" w:rsidRDefault="00753987" w:rsidP="00753987">
      <w:pPr>
        <w:pStyle w:val="ListParagraph"/>
        <w:numPr>
          <w:ilvl w:val="0"/>
          <w:numId w:val="20"/>
        </w:numPr>
        <w:tabs>
          <w:tab w:val="clear" w:pos="284"/>
          <w:tab w:val="clear" w:pos="567"/>
          <w:tab w:val="clear" w:pos="851"/>
        </w:tabs>
        <w:spacing w:after="100" w:line="300" w:lineRule="auto"/>
        <w:contextualSpacing w:val="0"/>
        <w:rPr>
          <w:rFonts w:ascii="Arial" w:hAnsi="Arial" w:cs="Arial"/>
        </w:rPr>
      </w:pPr>
      <w:r>
        <w:rPr>
          <w:rFonts w:ascii="Arial" w:hAnsi="Arial" w:cs="Arial"/>
        </w:rPr>
        <w:t>using data or information belonging to the Organisation, its patients or its community</w:t>
      </w:r>
    </w:p>
    <w:p w14:paraId="75CBCE14" w14:textId="77777777" w:rsidR="00753987" w:rsidRDefault="00753987" w:rsidP="00753987">
      <w:pPr>
        <w:pStyle w:val="ListParagraph"/>
        <w:numPr>
          <w:ilvl w:val="0"/>
          <w:numId w:val="20"/>
        </w:numPr>
        <w:tabs>
          <w:tab w:val="clear" w:pos="284"/>
          <w:tab w:val="clear" w:pos="567"/>
          <w:tab w:val="clear" w:pos="851"/>
        </w:tabs>
        <w:spacing w:after="100" w:line="300" w:lineRule="auto"/>
        <w:contextualSpacing w:val="0"/>
        <w:rPr>
          <w:rFonts w:ascii="Arial" w:hAnsi="Arial" w:cs="Arial"/>
        </w:rPr>
      </w:pPr>
      <w:r>
        <w:rPr>
          <w:rFonts w:ascii="Arial" w:hAnsi="Arial" w:cs="Arial"/>
        </w:rPr>
        <w:t>whether the tool is provided by the Organisation or personally owned, and whether it is paid or free to use.</w:t>
      </w:r>
    </w:p>
    <w:p w14:paraId="26ADCB48" w14:textId="77777777" w:rsidR="00753987" w:rsidRPr="003C0A9E" w:rsidRDefault="00753987" w:rsidP="00753987">
      <w:pPr>
        <w:pStyle w:val="Heading2"/>
        <w:numPr>
          <w:ilvl w:val="0"/>
          <w:numId w:val="25"/>
        </w:numPr>
        <w:rPr>
          <w:color w:val="001441" w:themeColor="text1"/>
        </w:rPr>
      </w:pPr>
      <w:bookmarkStart w:id="325" w:name="_Toc238474921"/>
      <w:bookmarkStart w:id="326" w:name="_Toc238475835"/>
      <w:bookmarkStart w:id="327" w:name="_Toc238562153"/>
      <w:bookmarkStart w:id="328" w:name="_Toc238564231"/>
      <w:bookmarkStart w:id="329" w:name="_Toc239257336"/>
      <w:bookmarkStart w:id="330" w:name="_Toc239257439"/>
      <w:bookmarkStart w:id="331" w:name="_Toc239257540"/>
      <w:bookmarkStart w:id="332" w:name="_Toc240894377"/>
      <w:bookmarkStart w:id="333" w:name="_Toc240894593"/>
      <w:bookmarkStart w:id="334" w:name="_Toc240897435"/>
      <w:bookmarkStart w:id="335" w:name="_Toc240897588"/>
      <w:bookmarkStart w:id="336" w:name="_Toc240956406"/>
      <w:r w:rsidRPr="003C0A9E">
        <w:rPr>
          <w:color w:val="001441" w:themeColor="text1"/>
        </w:rPr>
        <w:lastRenderedPageBreak/>
        <w:t>Principles for AI use</w:t>
      </w:r>
      <w:bookmarkEnd w:id="325"/>
      <w:bookmarkEnd w:id="326"/>
      <w:bookmarkEnd w:id="327"/>
      <w:bookmarkEnd w:id="328"/>
      <w:bookmarkEnd w:id="329"/>
      <w:bookmarkEnd w:id="330"/>
      <w:bookmarkEnd w:id="331"/>
      <w:bookmarkEnd w:id="332"/>
      <w:bookmarkEnd w:id="333"/>
      <w:bookmarkEnd w:id="334"/>
      <w:bookmarkEnd w:id="335"/>
      <w:bookmarkEnd w:id="336"/>
    </w:p>
    <w:p w14:paraId="745C3FED" w14:textId="77777777" w:rsidR="00753987" w:rsidRDefault="00753987" w:rsidP="00753987">
      <w:pPr>
        <w:pStyle w:val="ListParagraph"/>
        <w:numPr>
          <w:ilvl w:val="1"/>
          <w:numId w:val="25"/>
        </w:numPr>
      </w:pPr>
      <w:r w:rsidRPr="007A46AD">
        <w:t xml:space="preserve">All AI use within the Organisation operates under the </w:t>
      </w:r>
      <w:r>
        <w:t>four</w:t>
      </w:r>
      <w:r w:rsidRPr="007A46AD">
        <w:t xml:space="preserve"> foundational principles of the AI Governance Framework for ACCHOs. These principles </w:t>
      </w:r>
      <w:r>
        <w:t xml:space="preserve">should take </w:t>
      </w:r>
      <w:r w:rsidRPr="007A46AD">
        <w:t>precedence over convenience, efficiency and vendor assurances.</w:t>
      </w:r>
    </w:p>
    <w:p w14:paraId="120D5ED6" w14:textId="77777777" w:rsidR="00753987" w:rsidRDefault="00753987" w:rsidP="00753987">
      <w:pPr>
        <w:pStyle w:val="ListParagraph"/>
        <w:numPr>
          <w:ilvl w:val="1"/>
          <w:numId w:val="25"/>
        </w:numPr>
      </w:pPr>
      <w:r w:rsidRPr="00FD6AC5">
        <w:rPr>
          <w:b/>
          <w:bCs/>
        </w:rPr>
        <w:t>Indigenous Data Sovereignty and Governance.</w:t>
      </w:r>
      <w:r w:rsidRPr="007A46AD">
        <w:t xml:space="preserve"> Data about Aboriginal and Torres Strait Islander people, including data generated by AI tools used within the Organisation, is the property of Aboriginal and Torres Strait Islander people. No AI tool may collect, transmit, store or reuse patient or community data in a way that is inconsistent with this principle.</w:t>
      </w:r>
    </w:p>
    <w:p w14:paraId="25FBF569" w14:textId="77777777" w:rsidR="00753987" w:rsidRPr="007A46AD" w:rsidRDefault="00753987" w:rsidP="00753987">
      <w:pPr>
        <w:pStyle w:val="ListParagraph"/>
        <w:numPr>
          <w:ilvl w:val="1"/>
          <w:numId w:val="25"/>
        </w:numPr>
      </w:pPr>
      <w:r w:rsidRPr="00FD6AC5">
        <w:rPr>
          <w:b/>
          <w:bCs/>
        </w:rPr>
        <w:t>Cultural Safety.</w:t>
      </w:r>
      <w:r w:rsidRPr="007A46AD">
        <w:t xml:space="preserve"> AI tools must be culturally safe in design, deployment and use. Cultural safety is determined by Aboriginal and Torres Strait Islander peoples, not by the Organisation, the vendor or the tool. An output that is clinically accurate but culturally unsafe is not an acceptable output.</w:t>
      </w:r>
    </w:p>
    <w:p w14:paraId="4E02836D" w14:textId="77777777" w:rsidR="00753987" w:rsidRDefault="00753987" w:rsidP="00753987">
      <w:pPr>
        <w:pStyle w:val="ListParagraph"/>
        <w:numPr>
          <w:ilvl w:val="1"/>
          <w:numId w:val="25"/>
        </w:numPr>
      </w:pPr>
      <w:r w:rsidRPr="00FD6AC5">
        <w:rPr>
          <w:b/>
          <w:bCs/>
        </w:rPr>
        <w:t xml:space="preserve">Community Authority. </w:t>
      </w:r>
      <w:r w:rsidRPr="007A46AD">
        <w:t>Decisions about whether, when and how AI tools are used sit with the Board, in consultation with community. No individual staff member, clinician or vendor may introduce an AI tool into Organisation workflows without that authority.</w:t>
      </w:r>
    </w:p>
    <w:p w14:paraId="5178D4F9" w14:textId="0CE1E238" w:rsidR="00753987" w:rsidRPr="00D87EF8" w:rsidRDefault="00753987" w:rsidP="00753987">
      <w:pPr>
        <w:pStyle w:val="ListParagraph"/>
        <w:numPr>
          <w:ilvl w:val="1"/>
          <w:numId w:val="25"/>
        </w:numPr>
      </w:pPr>
      <w:r>
        <w:rPr>
          <w:b/>
          <w:bCs/>
        </w:rPr>
        <w:t>Human Judgement</w:t>
      </w:r>
      <w:r w:rsidRPr="00FD6AC5">
        <w:rPr>
          <w:b/>
          <w:bCs/>
        </w:rPr>
        <w:t xml:space="preserve">. </w:t>
      </w:r>
      <w:r>
        <w:t xml:space="preserve">Clinical assessment and skill of an appropriately registered clinician always overrides any recommendation, clinical decision support reference or output from an AI-enabled tool or technology. </w:t>
      </w:r>
    </w:p>
    <w:p w14:paraId="238F2F46" w14:textId="77777777" w:rsidR="00753987" w:rsidRPr="00D87EF8" w:rsidRDefault="00753987" w:rsidP="00753987">
      <w:pPr>
        <w:pStyle w:val="ListParagraph"/>
        <w:tabs>
          <w:tab w:val="left" w:pos="720"/>
        </w:tabs>
        <w:spacing w:line="300" w:lineRule="auto"/>
        <w:ind w:left="792"/>
        <w:rPr>
          <w:rFonts w:ascii="Arial" w:hAnsi="Arial" w:cs="Arial"/>
        </w:rPr>
      </w:pPr>
    </w:p>
    <w:p w14:paraId="4715499A" w14:textId="77777777" w:rsidR="00753987" w:rsidRPr="00FD6AC5" w:rsidRDefault="00753987" w:rsidP="00753987">
      <w:pPr>
        <w:pStyle w:val="Heading2"/>
        <w:numPr>
          <w:ilvl w:val="0"/>
          <w:numId w:val="25"/>
        </w:numPr>
        <w:rPr>
          <w:color w:val="001441" w:themeColor="text1"/>
        </w:rPr>
      </w:pPr>
      <w:bookmarkStart w:id="337" w:name="_Toc238474922"/>
      <w:bookmarkStart w:id="338" w:name="_Toc238475836"/>
      <w:bookmarkStart w:id="339" w:name="_Toc238562154"/>
      <w:bookmarkStart w:id="340" w:name="_Toc238564232"/>
      <w:bookmarkStart w:id="341" w:name="_Toc239257337"/>
      <w:bookmarkStart w:id="342" w:name="_Toc239257440"/>
      <w:bookmarkStart w:id="343" w:name="_Toc239257541"/>
      <w:bookmarkStart w:id="344" w:name="_Toc240894378"/>
      <w:bookmarkStart w:id="345" w:name="_Toc240894594"/>
      <w:bookmarkStart w:id="346" w:name="_Toc240897436"/>
      <w:bookmarkStart w:id="347" w:name="_Toc240897589"/>
      <w:bookmarkStart w:id="348" w:name="_Toc240956407"/>
      <w:r w:rsidRPr="00FD6AC5">
        <w:rPr>
          <w:color w:val="001441" w:themeColor="text1"/>
        </w:rPr>
        <w:t>Acceptable and prohibited use, and staff autonomy</w:t>
      </w:r>
      <w:bookmarkEnd w:id="337"/>
      <w:bookmarkEnd w:id="338"/>
      <w:bookmarkEnd w:id="339"/>
      <w:bookmarkEnd w:id="340"/>
      <w:bookmarkEnd w:id="341"/>
      <w:bookmarkEnd w:id="342"/>
      <w:bookmarkEnd w:id="343"/>
      <w:bookmarkEnd w:id="344"/>
      <w:bookmarkEnd w:id="345"/>
      <w:bookmarkEnd w:id="346"/>
      <w:bookmarkEnd w:id="347"/>
      <w:bookmarkEnd w:id="348"/>
    </w:p>
    <w:p w14:paraId="16B56321" w14:textId="77777777" w:rsidR="00753987" w:rsidRPr="007A46AD" w:rsidRDefault="00753987" w:rsidP="00753987">
      <w:pPr>
        <w:pStyle w:val="ListParagraph"/>
        <w:numPr>
          <w:ilvl w:val="1"/>
          <w:numId w:val="25"/>
        </w:numPr>
        <w:tabs>
          <w:tab w:val="clear" w:pos="284"/>
          <w:tab w:val="clear" w:pos="567"/>
          <w:tab w:val="clear" w:pos="851"/>
          <w:tab w:val="left" w:pos="720"/>
        </w:tabs>
        <w:spacing w:before="320" w:line="300" w:lineRule="auto"/>
        <w:contextualSpacing w:val="0"/>
        <w:rPr>
          <w:rFonts w:ascii="Arial" w:hAnsi="Arial" w:cs="Arial"/>
        </w:rPr>
      </w:pPr>
      <w:r w:rsidRPr="007A46AD">
        <w:rPr>
          <w:rFonts w:ascii="Arial" w:hAnsi="Arial" w:cs="Arial"/>
        </w:rPr>
        <w:t>AI tools may be used only when all of the following conditions are met:</w:t>
      </w:r>
    </w:p>
    <w:p w14:paraId="47A895B8" w14:textId="77777777" w:rsidR="00753987" w:rsidRPr="00BE0688" w:rsidRDefault="00753987" w:rsidP="00753987">
      <w:pPr>
        <w:tabs>
          <w:tab w:val="left" w:pos="1440"/>
        </w:tabs>
        <w:spacing w:after="100" w:line="300" w:lineRule="auto"/>
        <w:ind w:left="1440" w:hanging="720"/>
        <w:rPr>
          <w:rFonts w:ascii="Arial" w:hAnsi="Arial" w:cs="Arial"/>
        </w:rPr>
      </w:pPr>
      <w:r>
        <w:rPr>
          <w:rFonts w:ascii="Arial" w:hAnsi="Arial" w:cs="Arial"/>
        </w:rPr>
        <w:t>(a)</w:t>
      </w:r>
      <w:r>
        <w:rPr>
          <w:rFonts w:ascii="Arial" w:hAnsi="Arial" w:cs="Arial"/>
        </w:rPr>
        <w:tab/>
        <w:t>the tool is an Approved AI tool listed in the AI Tools Register;</w:t>
      </w:r>
    </w:p>
    <w:p w14:paraId="29849E8B" w14:textId="77777777" w:rsidR="00753987" w:rsidRPr="00BE0688" w:rsidRDefault="00753987" w:rsidP="00753987">
      <w:pPr>
        <w:tabs>
          <w:tab w:val="left" w:pos="1440"/>
        </w:tabs>
        <w:spacing w:after="100" w:line="300" w:lineRule="auto"/>
        <w:ind w:left="1440" w:hanging="720"/>
        <w:rPr>
          <w:rFonts w:ascii="Arial" w:hAnsi="Arial" w:cs="Arial"/>
        </w:rPr>
      </w:pPr>
      <w:r>
        <w:rPr>
          <w:rFonts w:ascii="Arial" w:hAnsi="Arial" w:cs="Arial"/>
        </w:rPr>
        <w:t>(b)</w:t>
      </w:r>
      <w:r>
        <w:tab/>
      </w:r>
      <w:r>
        <w:rPr>
          <w:rFonts w:ascii="Arial" w:hAnsi="Arial" w:cs="Arial"/>
        </w:rPr>
        <w:t>the use falls within the tool's approved purpose and any conditions in its AI Tool Safety Statement;</w:t>
      </w:r>
    </w:p>
    <w:p w14:paraId="5FC30725" w14:textId="77777777" w:rsidR="00753987" w:rsidRPr="00BE0688" w:rsidRDefault="00753987" w:rsidP="00753987">
      <w:pPr>
        <w:tabs>
          <w:tab w:val="left" w:pos="1440"/>
        </w:tabs>
        <w:spacing w:after="100" w:line="300" w:lineRule="auto"/>
        <w:ind w:left="1440" w:hanging="720"/>
        <w:rPr>
          <w:rFonts w:ascii="Arial" w:hAnsi="Arial" w:cs="Arial"/>
        </w:rPr>
      </w:pPr>
      <w:r>
        <w:rPr>
          <w:rFonts w:ascii="Arial" w:hAnsi="Arial" w:cs="Arial"/>
        </w:rPr>
        <w:t>(c)</w:t>
      </w:r>
      <w:r>
        <w:rPr>
          <w:rFonts w:ascii="Arial" w:hAnsi="Arial" w:cs="Arial"/>
        </w:rPr>
        <w:tab/>
        <w:t>the user has completed the training required for the tool;</w:t>
      </w:r>
    </w:p>
    <w:p w14:paraId="57F60FAD" w14:textId="77777777" w:rsidR="00753987" w:rsidRPr="00BE0688" w:rsidRDefault="00753987" w:rsidP="00753987">
      <w:pPr>
        <w:tabs>
          <w:tab w:val="left" w:pos="1440"/>
        </w:tabs>
        <w:spacing w:after="100" w:line="300" w:lineRule="auto"/>
        <w:ind w:left="1440" w:hanging="720"/>
        <w:rPr>
          <w:rFonts w:ascii="Arial" w:hAnsi="Arial" w:cs="Arial"/>
        </w:rPr>
      </w:pPr>
      <w:r>
        <w:rPr>
          <w:rFonts w:ascii="Arial" w:hAnsi="Arial" w:cs="Arial"/>
        </w:rPr>
        <w:t>(d)</w:t>
      </w:r>
      <w:r>
        <w:rPr>
          <w:rFonts w:ascii="Arial" w:hAnsi="Arial" w:cs="Arial"/>
        </w:rPr>
        <w:tab/>
        <w:t>patient consent obligations have been met, including informing the patient that AI is being used in their care; and</w:t>
      </w:r>
    </w:p>
    <w:p w14:paraId="15C435A5" w14:textId="77777777" w:rsidR="00753987" w:rsidRPr="00BE0688" w:rsidRDefault="00753987" w:rsidP="00753987">
      <w:pPr>
        <w:tabs>
          <w:tab w:val="left" w:pos="1440"/>
        </w:tabs>
        <w:spacing w:line="300" w:lineRule="auto"/>
        <w:ind w:left="1440" w:hanging="720"/>
        <w:rPr>
          <w:rFonts w:ascii="Arial" w:hAnsi="Arial" w:cs="Arial"/>
        </w:rPr>
      </w:pPr>
      <w:r>
        <w:rPr>
          <w:rFonts w:ascii="Arial" w:hAnsi="Arial" w:cs="Arial"/>
        </w:rPr>
        <w:t>(e)</w:t>
      </w:r>
      <w:r>
        <w:rPr>
          <w:rFonts w:ascii="Arial" w:hAnsi="Arial" w:cs="Arial"/>
        </w:rPr>
        <w:tab/>
        <w:t>appropriate human oversight is in place.</w:t>
      </w:r>
    </w:p>
    <w:p w14:paraId="234AAD98" w14:textId="77777777" w:rsidR="00753987" w:rsidRPr="0016402C" w:rsidRDefault="00753987" w:rsidP="00753987">
      <w:pPr>
        <w:pStyle w:val="ListParagraph"/>
        <w:numPr>
          <w:ilvl w:val="1"/>
          <w:numId w:val="25"/>
        </w:numPr>
        <w:tabs>
          <w:tab w:val="clear" w:pos="284"/>
          <w:tab w:val="clear" w:pos="567"/>
          <w:tab w:val="clear" w:pos="851"/>
          <w:tab w:val="left" w:pos="720"/>
        </w:tabs>
        <w:spacing w:before="120" w:line="300" w:lineRule="auto"/>
        <w:contextualSpacing w:val="0"/>
        <w:rPr>
          <w:rFonts w:ascii="Arial" w:hAnsi="Arial" w:cs="Arial"/>
        </w:rPr>
      </w:pPr>
      <w:r w:rsidRPr="0016402C">
        <w:rPr>
          <w:rFonts w:ascii="Arial" w:hAnsi="Arial" w:cs="Arial"/>
        </w:rPr>
        <w:t xml:space="preserve">Users </w:t>
      </w:r>
      <w:r w:rsidRPr="0016402C">
        <w:rPr>
          <w:rFonts w:ascii="Arial" w:hAnsi="Arial" w:cs="Arial"/>
          <w:b/>
          <w:bCs/>
        </w:rPr>
        <w:t>must not</w:t>
      </w:r>
      <w:r w:rsidRPr="0016402C">
        <w:rPr>
          <w:rFonts w:ascii="Arial" w:hAnsi="Arial" w:cs="Arial"/>
        </w:rPr>
        <w:t>:</w:t>
      </w:r>
    </w:p>
    <w:p w14:paraId="02F271F8" w14:textId="77777777" w:rsidR="00753987" w:rsidRPr="00BE0688" w:rsidRDefault="00753987" w:rsidP="00753987">
      <w:pPr>
        <w:tabs>
          <w:tab w:val="left" w:pos="1440"/>
        </w:tabs>
        <w:spacing w:after="100" w:line="300" w:lineRule="auto"/>
        <w:ind w:left="1440" w:hanging="720"/>
        <w:rPr>
          <w:rFonts w:ascii="Arial" w:hAnsi="Arial" w:cs="Arial"/>
        </w:rPr>
      </w:pPr>
      <w:r>
        <w:rPr>
          <w:rFonts w:ascii="Arial" w:hAnsi="Arial" w:cs="Arial"/>
        </w:rPr>
        <w:t>(a)</w:t>
      </w:r>
      <w:r>
        <w:rPr>
          <w:rFonts w:ascii="Arial" w:hAnsi="Arial" w:cs="Arial"/>
        </w:rPr>
        <w:tab/>
        <w:t>enter patient, community or Organisation information into any AI tool that is not an Approved AI tool, including free, public, browser-based tools (Shadow AI);</w:t>
      </w:r>
    </w:p>
    <w:p w14:paraId="2A0AF117" w14:textId="77777777" w:rsidR="00753987" w:rsidRPr="00BE0688" w:rsidRDefault="00753987" w:rsidP="00753987">
      <w:pPr>
        <w:tabs>
          <w:tab w:val="left" w:pos="1440"/>
        </w:tabs>
        <w:spacing w:after="100" w:line="300" w:lineRule="auto"/>
        <w:ind w:left="1440" w:hanging="720"/>
        <w:rPr>
          <w:rFonts w:ascii="Arial" w:hAnsi="Arial" w:cs="Arial"/>
        </w:rPr>
      </w:pPr>
      <w:r>
        <w:rPr>
          <w:rFonts w:ascii="Arial" w:hAnsi="Arial" w:cs="Arial"/>
        </w:rPr>
        <w:t>(b)</w:t>
      </w:r>
      <w:r>
        <w:rPr>
          <w:rFonts w:ascii="Arial" w:hAnsi="Arial" w:cs="Arial"/>
        </w:rPr>
        <w:tab/>
        <w:t>use an AI tool to make, rather than support, a clinical decision;</w:t>
      </w:r>
    </w:p>
    <w:p w14:paraId="00CFC977" w14:textId="77777777" w:rsidR="00753987" w:rsidRPr="00BE0688" w:rsidRDefault="00753987" w:rsidP="00753987">
      <w:pPr>
        <w:tabs>
          <w:tab w:val="left" w:pos="1440"/>
        </w:tabs>
        <w:spacing w:after="100" w:line="300" w:lineRule="auto"/>
        <w:ind w:left="1440" w:hanging="720"/>
        <w:rPr>
          <w:rFonts w:ascii="Arial" w:hAnsi="Arial" w:cs="Arial"/>
        </w:rPr>
      </w:pPr>
      <w:r>
        <w:rPr>
          <w:rFonts w:ascii="Arial" w:hAnsi="Arial" w:cs="Arial"/>
        </w:rPr>
        <w:t>(c)</w:t>
      </w:r>
      <w:r>
        <w:rPr>
          <w:rFonts w:ascii="Arial" w:hAnsi="Arial" w:cs="Arial"/>
        </w:rPr>
        <w:tab/>
        <w:t>save AI-generated content to the patient record without clinician review and approval;</w:t>
      </w:r>
    </w:p>
    <w:p w14:paraId="3E7096FF" w14:textId="77777777" w:rsidR="00753987" w:rsidRPr="00BE0688" w:rsidRDefault="00753987" w:rsidP="00753987">
      <w:pPr>
        <w:tabs>
          <w:tab w:val="left" w:pos="1440"/>
        </w:tabs>
        <w:spacing w:after="100" w:line="300" w:lineRule="auto"/>
        <w:ind w:left="1440" w:hanging="720"/>
        <w:rPr>
          <w:rFonts w:ascii="Arial" w:hAnsi="Arial" w:cs="Arial"/>
        </w:rPr>
      </w:pPr>
      <w:r>
        <w:rPr>
          <w:rFonts w:ascii="Arial" w:hAnsi="Arial" w:cs="Arial"/>
        </w:rPr>
        <w:t>(d)</w:t>
      </w:r>
      <w:r>
        <w:rPr>
          <w:rFonts w:ascii="Arial" w:hAnsi="Arial" w:cs="Arial"/>
        </w:rPr>
        <w:tab/>
        <w:t>disable, bypass or work around controls applied to an Approved AI tool, including consent prompts and review steps;</w:t>
      </w:r>
    </w:p>
    <w:p w14:paraId="005D9A65" w14:textId="77777777" w:rsidR="00753987" w:rsidRPr="00BE0688" w:rsidRDefault="00753987" w:rsidP="00753987">
      <w:pPr>
        <w:tabs>
          <w:tab w:val="left" w:pos="1440"/>
        </w:tabs>
        <w:spacing w:after="100" w:line="300" w:lineRule="auto"/>
        <w:ind w:left="1440" w:hanging="720"/>
        <w:rPr>
          <w:rFonts w:ascii="Arial" w:hAnsi="Arial" w:cs="Arial"/>
        </w:rPr>
      </w:pPr>
      <w:r>
        <w:rPr>
          <w:rFonts w:ascii="Arial" w:hAnsi="Arial" w:cs="Arial"/>
        </w:rPr>
        <w:t>(e)</w:t>
      </w:r>
      <w:r>
        <w:tab/>
      </w:r>
      <w:r>
        <w:rPr>
          <w:rFonts w:ascii="Arial" w:hAnsi="Arial" w:cs="Arial"/>
        </w:rPr>
        <w:t>publish or share AI-generated content outside the Organisation without human review and approval by the position named in clause 11.1; or</w:t>
      </w:r>
    </w:p>
    <w:p w14:paraId="21F8C6E5" w14:textId="77777777" w:rsidR="00753987" w:rsidRPr="00BE0688" w:rsidRDefault="00753987" w:rsidP="00753987">
      <w:pPr>
        <w:tabs>
          <w:tab w:val="left" w:pos="1440"/>
        </w:tabs>
        <w:spacing w:after="100" w:line="300" w:lineRule="auto"/>
        <w:ind w:left="1440" w:hanging="720"/>
        <w:rPr>
          <w:rFonts w:ascii="Arial" w:hAnsi="Arial" w:cs="Arial"/>
        </w:rPr>
      </w:pPr>
      <w:r>
        <w:rPr>
          <w:rFonts w:ascii="Arial" w:hAnsi="Arial" w:cs="Arial"/>
        </w:rPr>
        <w:t>(f)</w:t>
      </w:r>
      <w:r>
        <w:rPr>
          <w:rFonts w:ascii="Arial" w:hAnsi="Arial" w:cs="Arial"/>
        </w:rPr>
        <w:tab/>
        <w:t>continue to use a tool after being directed to stop, including where the tool has been suspended following an AI incident.</w:t>
      </w:r>
    </w:p>
    <w:p w14:paraId="5FF30D7E" w14:textId="77777777" w:rsidR="00753987" w:rsidRDefault="00753987" w:rsidP="00753987">
      <w:pPr>
        <w:spacing w:line="300" w:lineRule="auto"/>
        <w:ind w:left="720"/>
        <w:rPr>
          <w:rFonts w:ascii="Arial" w:hAnsi="Arial" w:cs="Arial"/>
        </w:rPr>
      </w:pPr>
      <w:r>
        <w:rPr>
          <w:rFonts w:ascii="Arial" w:hAnsi="Arial" w:cs="Arial"/>
        </w:rPr>
        <w:t xml:space="preserve">A breach of this policy is managed under the Organisation’s usual conduct and performance processes. Serious breaches, particularly those involving patient data or culturally unsafe use, may end employment or engagement. </w:t>
      </w:r>
    </w:p>
    <w:p w14:paraId="0A597BE2" w14:textId="77777777" w:rsidR="00753987" w:rsidRDefault="00753987" w:rsidP="00753987">
      <w:pPr>
        <w:spacing w:line="300" w:lineRule="auto"/>
        <w:ind w:left="720"/>
        <w:rPr>
          <w:rFonts w:ascii="Arial" w:hAnsi="Arial" w:cs="Arial"/>
        </w:rPr>
      </w:pPr>
      <w:r>
        <w:rPr>
          <w:rFonts w:ascii="Arial" w:hAnsi="Arial" w:cs="Arial"/>
        </w:rPr>
        <w:lastRenderedPageBreak/>
        <w:t>Staff who promptly self-report an inadvertent breach will be supported to remediate; the purpose of this policy is to bring safe and responsible use, not punishment.</w:t>
      </w:r>
    </w:p>
    <w:p w14:paraId="25F2502A" w14:textId="77777777" w:rsidR="00753987" w:rsidRDefault="00753987" w:rsidP="00753987">
      <w:pPr>
        <w:pStyle w:val="ListParagraph"/>
        <w:numPr>
          <w:ilvl w:val="1"/>
          <w:numId w:val="25"/>
        </w:numPr>
        <w:tabs>
          <w:tab w:val="clear" w:pos="284"/>
          <w:tab w:val="clear" w:pos="567"/>
          <w:tab w:val="clear" w:pos="851"/>
        </w:tabs>
        <w:spacing w:line="300" w:lineRule="auto"/>
        <w:contextualSpacing w:val="0"/>
        <w:rPr>
          <w:rFonts w:ascii="Arial" w:hAnsi="Arial" w:cs="Arial"/>
        </w:rPr>
      </w:pPr>
      <w:r>
        <w:rPr>
          <w:rFonts w:ascii="Arial" w:hAnsi="Arial" w:cs="Arial"/>
        </w:rPr>
        <w:t xml:space="preserve">Users </w:t>
      </w:r>
      <w:r w:rsidRPr="00DA3FEF">
        <w:rPr>
          <w:rFonts w:ascii="Arial" w:hAnsi="Arial" w:cs="Arial"/>
          <w:b/>
          <w:bCs/>
        </w:rPr>
        <w:t>may</w:t>
      </w:r>
      <w:r>
        <w:rPr>
          <w:rFonts w:ascii="Arial" w:hAnsi="Arial" w:cs="Arial"/>
        </w:rPr>
        <w:t>:</w:t>
      </w:r>
    </w:p>
    <w:p w14:paraId="5BFA2489" w14:textId="77777777" w:rsidR="00753987" w:rsidRDefault="00753987" w:rsidP="00753987">
      <w:pPr>
        <w:pStyle w:val="ListParagraph"/>
        <w:numPr>
          <w:ilvl w:val="0"/>
          <w:numId w:val="24"/>
        </w:numPr>
        <w:tabs>
          <w:tab w:val="clear" w:pos="284"/>
          <w:tab w:val="clear" w:pos="567"/>
          <w:tab w:val="clear" w:pos="851"/>
        </w:tabs>
        <w:spacing w:line="300" w:lineRule="auto"/>
        <w:contextualSpacing w:val="0"/>
        <w:rPr>
          <w:rFonts w:ascii="Arial" w:hAnsi="Arial" w:cs="Arial"/>
        </w:rPr>
      </w:pPr>
      <w:r>
        <w:rPr>
          <w:rFonts w:ascii="Arial" w:hAnsi="Arial" w:cs="Arial"/>
        </w:rPr>
        <w:t>elect when to use AI within the conditions established in this policy</w:t>
      </w:r>
    </w:p>
    <w:p w14:paraId="26588E56" w14:textId="77777777" w:rsidR="00753987" w:rsidRDefault="00753987" w:rsidP="00753987">
      <w:pPr>
        <w:pStyle w:val="ListParagraph"/>
        <w:numPr>
          <w:ilvl w:val="0"/>
          <w:numId w:val="24"/>
        </w:numPr>
        <w:tabs>
          <w:tab w:val="clear" w:pos="284"/>
          <w:tab w:val="clear" w:pos="567"/>
          <w:tab w:val="clear" w:pos="851"/>
        </w:tabs>
        <w:spacing w:line="300" w:lineRule="auto"/>
        <w:contextualSpacing w:val="0"/>
        <w:rPr>
          <w:rFonts w:ascii="Arial" w:hAnsi="Arial" w:cs="Arial"/>
        </w:rPr>
      </w:pPr>
      <w:r>
        <w:rPr>
          <w:rFonts w:ascii="Arial" w:hAnsi="Arial" w:cs="Arial"/>
        </w:rPr>
        <w:t>choose not to use AI at any time</w:t>
      </w:r>
    </w:p>
    <w:p w14:paraId="2E5948AB" w14:textId="77777777" w:rsidR="00753987" w:rsidRPr="006B6E7E" w:rsidRDefault="00753987" w:rsidP="00753987">
      <w:pPr>
        <w:pStyle w:val="ListParagraph"/>
        <w:numPr>
          <w:ilvl w:val="0"/>
          <w:numId w:val="24"/>
        </w:numPr>
        <w:tabs>
          <w:tab w:val="clear" w:pos="284"/>
          <w:tab w:val="clear" w:pos="567"/>
          <w:tab w:val="clear" w:pos="851"/>
        </w:tabs>
        <w:spacing w:line="300" w:lineRule="auto"/>
        <w:contextualSpacing w:val="0"/>
        <w:rPr>
          <w:rFonts w:ascii="Arial" w:hAnsi="Arial" w:cs="Arial"/>
        </w:rPr>
      </w:pPr>
      <w:r>
        <w:rPr>
          <w:rFonts w:ascii="Arial" w:hAnsi="Arial" w:cs="Arial"/>
        </w:rPr>
        <w:t xml:space="preserve">not be formally directed to use AI, regardless of any agreed conditions or use cases approved by the Organisation. </w:t>
      </w:r>
    </w:p>
    <w:p w14:paraId="32459047" w14:textId="77777777" w:rsidR="00753987" w:rsidRPr="0016402C" w:rsidRDefault="00753987" w:rsidP="00753987">
      <w:pPr>
        <w:pStyle w:val="ListParagraph"/>
        <w:numPr>
          <w:ilvl w:val="1"/>
          <w:numId w:val="25"/>
        </w:numPr>
        <w:tabs>
          <w:tab w:val="clear" w:pos="284"/>
          <w:tab w:val="clear" w:pos="567"/>
          <w:tab w:val="clear" w:pos="851"/>
          <w:tab w:val="left" w:pos="720"/>
        </w:tabs>
        <w:spacing w:before="120" w:after="100" w:line="300" w:lineRule="auto"/>
        <w:contextualSpacing w:val="0"/>
        <w:rPr>
          <w:rFonts w:ascii="Arial" w:hAnsi="Arial" w:cs="Arial"/>
        </w:rPr>
      </w:pPr>
      <w:r w:rsidRPr="0016402C">
        <w:rPr>
          <w:rFonts w:ascii="Arial" w:hAnsi="Arial" w:cs="Arial"/>
        </w:rPr>
        <w:t xml:space="preserve">Examples of prohibited use include, but are not limited to: </w:t>
      </w:r>
    </w:p>
    <w:p w14:paraId="31BCCA90" w14:textId="77777777" w:rsidR="00753987" w:rsidRDefault="00753987" w:rsidP="00753987">
      <w:pPr>
        <w:pStyle w:val="ListParagraph"/>
        <w:numPr>
          <w:ilvl w:val="0"/>
          <w:numId w:val="23"/>
        </w:numPr>
        <w:tabs>
          <w:tab w:val="clear" w:pos="284"/>
          <w:tab w:val="clear" w:pos="567"/>
          <w:tab w:val="clear" w:pos="851"/>
          <w:tab w:val="left" w:pos="720"/>
        </w:tabs>
        <w:spacing w:after="100" w:line="300" w:lineRule="auto"/>
        <w:contextualSpacing w:val="0"/>
        <w:rPr>
          <w:rFonts w:ascii="Arial" w:hAnsi="Arial" w:cs="Arial"/>
        </w:rPr>
      </w:pPr>
      <w:r w:rsidRPr="00302BB0">
        <w:rPr>
          <w:rFonts w:ascii="Arial" w:hAnsi="Arial" w:cs="Arial"/>
        </w:rPr>
        <w:t>entering identifiable patient information into a consumer AI tool (such as ChatGPT, Copilot in personal mode, Claude, Gemini, or any browser-based LLM not on the AI Tools Register)</w:t>
      </w:r>
    </w:p>
    <w:p w14:paraId="32B3B6D4" w14:textId="77777777" w:rsidR="00753987" w:rsidRDefault="00753987" w:rsidP="00753987">
      <w:pPr>
        <w:pStyle w:val="ListParagraph"/>
        <w:numPr>
          <w:ilvl w:val="0"/>
          <w:numId w:val="23"/>
        </w:numPr>
        <w:tabs>
          <w:tab w:val="clear" w:pos="284"/>
          <w:tab w:val="clear" w:pos="567"/>
          <w:tab w:val="clear" w:pos="851"/>
          <w:tab w:val="left" w:pos="720"/>
        </w:tabs>
        <w:spacing w:after="100" w:line="300" w:lineRule="auto"/>
        <w:contextualSpacing w:val="0"/>
        <w:rPr>
          <w:rFonts w:ascii="Arial" w:hAnsi="Arial" w:cs="Arial"/>
        </w:rPr>
      </w:pPr>
      <w:r w:rsidRPr="00302BB0">
        <w:rPr>
          <w:rFonts w:ascii="Arial" w:hAnsi="Arial" w:cs="Arial"/>
        </w:rPr>
        <w:t>capturing identifiable patient information (photographs of pathology results, ECGs, prescriptions, medication lists or patient records) into any consumer AI tool; using a personally acquired ambient scribe or AI assistant on a personal device in a clinical setting</w:t>
      </w:r>
    </w:p>
    <w:p w14:paraId="3379A58E" w14:textId="77777777" w:rsidR="00753987" w:rsidRDefault="00753987" w:rsidP="00753987">
      <w:pPr>
        <w:pStyle w:val="ListParagraph"/>
        <w:numPr>
          <w:ilvl w:val="0"/>
          <w:numId w:val="23"/>
        </w:numPr>
        <w:tabs>
          <w:tab w:val="clear" w:pos="284"/>
          <w:tab w:val="clear" w:pos="567"/>
          <w:tab w:val="clear" w:pos="851"/>
          <w:tab w:val="left" w:pos="720"/>
        </w:tabs>
        <w:spacing w:after="100" w:line="300" w:lineRule="auto"/>
        <w:contextualSpacing w:val="0"/>
        <w:rPr>
          <w:rFonts w:ascii="Arial" w:hAnsi="Arial" w:cs="Arial"/>
        </w:rPr>
      </w:pPr>
      <w:r w:rsidRPr="00302BB0">
        <w:rPr>
          <w:rFonts w:ascii="Arial" w:hAnsi="Arial" w:cs="Arial"/>
        </w:rPr>
        <w:t xml:space="preserve">using an AI tool to </w:t>
      </w:r>
      <w:r>
        <w:rPr>
          <w:rFonts w:ascii="Arial" w:hAnsi="Arial" w:cs="Arial"/>
        </w:rPr>
        <w:t>re-frame</w:t>
      </w:r>
      <w:r w:rsidRPr="00302BB0">
        <w:rPr>
          <w:rFonts w:ascii="Arial" w:hAnsi="Arial" w:cs="Arial"/>
        </w:rPr>
        <w:t>, summarise or rewrite clinical notes that are then pasted into the patient record without independent review against the original encounter; and using an AI tool to draft external correspondence on behalf of the Organisation without the approval required under clause 1</w:t>
      </w:r>
      <w:r>
        <w:rPr>
          <w:rFonts w:ascii="Arial" w:hAnsi="Arial" w:cs="Arial"/>
        </w:rPr>
        <w:t>1</w:t>
      </w:r>
      <w:r w:rsidRPr="00302BB0">
        <w:rPr>
          <w:rFonts w:ascii="Arial" w:hAnsi="Arial" w:cs="Arial"/>
        </w:rPr>
        <w:t>.1.</w:t>
      </w:r>
    </w:p>
    <w:p w14:paraId="5CD0F773" w14:textId="77777777" w:rsidR="00753987" w:rsidRPr="003A3F00" w:rsidRDefault="00753987" w:rsidP="00753987">
      <w:pPr>
        <w:pStyle w:val="ListParagraph"/>
        <w:numPr>
          <w:ilvl w:val="0"/>
          <w:numId w:val="23"/>
        </w:numPr>
        <w:tabs>
          <w:tab w:val="clear" w:pos="284"/>
          <w:tab w:val="clear" w:pos="567"/>
          <w:tab w:val="clear" w:pos="851"/>
          <w:tab w:val="left" w:pos="720"/>
        </w:tabs>
        <w:spacing w:after="100" w:line="300" w:lineRule="auto"/>
        <w:contextualSpacing w:val="0"/>
        <w:rPr>
          <w:rFonts w:ascii="Arial" w:hAnsi="Arial" w:cs="Arial"/>
        </w:rPr>
      </w:pPr>
      <w:r>
        <w:rPr>
          <w:rFonts w:ascii="Arial" w:hAnsi="Arial" w:cs="Arial"/>
        </w:rPr>
        <w:t>any other uses, determined from time to time, by the Organisation.</w:t>
      </w:r>
    </w:p>
    <w:p w14:paraId="57B1DFD3" w14:textId="77777777" w:rsidR="00753987" w:rsidRPr="00D1445F" w:rsidRDefault="00753987" w:rsidP="00753987">
      <w:pPr>
        <w:pStyle w:val="Heading2"/>
        <w:numPr>
          <w:ilvl w:val="0"/>
          <w:numId w:val="25"/>
        </w:numPr>
        <w:rPr>
          <w:color w:val="001441" w:themeColor="text1"/>
        </w:rPr>
      </w:pPr>
      <w:bookmarkStart w:id="349" w:name="_Toc238474923"/>
      <w:bookmarkStart w:id="350" w:name="_Toc238475837"/>
      <w:bookmarkStart w:id="351" w:name="_Toc238562155"/>
      <w:bookmarkStart w:id="352" w:name="_Toc238564233"/>
      <w:bookmarkStart w:id="353" w:name="_Toc239257338"/>
      <w:bookmarkStart w:id="354" w:name="_Toc239257441"/>
      <w:bookmarkStart w:id="355" w:name="_Toc239257542"/>
      <w:bookmarkStart w:id="356" w:name="_Toc240894379"/>
      <w:bookmarkStart w:id="357" w:name="_Toc240894595"/>
      <w:bookmarkStart w:id="358" w:name="_Toc240897437"/>
      <w:bookmarkStart w:id="359" w:name="_Toc240897590"/>
      <w:bookmarkStart w:id="360" w:name="_Toc240956408"/>
      <w:r w:rsidRPr="00D1445F">
        <w:rPr>
          <w:color w:val="001441" w:themeColor="text1"/>
        </w:rPr>
        <w:t>Governance, controls and compliance</w:t>
      </w:r>
      <w:bookmarkEnd w:id="349"/>
      <w:bookmarkEnd w:id="350"/>
      <w:bookmarkEnd w:id="351"/>
      <w:bookmarkEnd w:id="352"/>
      <w:bookmarkEnd w:id="353"/>
      <w:bookmarkEnd w:id="354"/>
      <w:bookmarkEnd w:id="355"/>
      <w:bookmarkEnd w:id="356"/>
      <w:bookmarkEnd w:id="357"/>
      <w:bookmarkEnd w:id="358"/>
      <w:bookmarkEnd w:id="359"/>
      <w:bookmarkEnd w:id="360"/>
    </w:p>
    <w:p w14:paraId="5DE494D1"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Pr>
          <w:rFonts w:ascii="Arial" w:hAnsi="Arial" w:cs="Arial"/>
        </w:rPr>
        <w:t xml:space="preserve">The Board will appoint an AI Governance Committee [or equivalent proportionate to organisational size and structure]. The Committee [or equivalent] should include </w:t>
      </w:r>
      <w:r w:rsidRPr="002E79E5">
        <w:rPr>
          <w:rFonts w:ascii="Arial" w:hAnsi="Arial" w:cs="Arial"/>
          <w:b/>
          <w:bCs/>
          <w:highlight w:val="cyan"/>
        </w:rPr>
        <w:t xml:space="preserve">[insert relevant positions </w:t>
      </w:r>
      <w:proofErr w:type="spellStart"/>
      <w:r w:rsidRPr="002E79E5">
        <w:rPr>
          <w:rFonts w:ascii="Arial" w:hAnsi="Arial" w:cs="Arial"/>
          <w:b/>
          <w:bCs/>
          <w:highlight w:val="cyan"/>
        </w:rPr>
        <w:t>eg</w:t>
      </w:r>
      <w:proofErr w:type="spellEnd"/>
      <w:r w:rsidRPr="002E79E5">
        <w:rPr>
          <w:rFonts w:ascii="Arial" w:hAnsi="Arial" w:cs="Arial"/>
          <w:b/>
          <w:bCs/>
          <w:highlight w:val="cyan"/>
        </w:rPr>
        <w:t xml:space="preserve"> Senior Medical Officer and/or required expertise]</w:t>
      </w:r>
      <w:r>
        <w:rPr>
          <w:rFonts w:ascii="Arial" w:hAnsi="Arial" w:cs="Arial"/>
        </w:rPr>
        <w:t xml:space="preserve">. </w:t>
      </w:r>
    </w:p>
    <w:p w14:paraId="252DF6BC"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 xml:space="preserve">Every AI tool </w:t>
      </w:r>
      <w:r w:rsidRPr="0016402C">
        <w:rPr>
          <w:rFonts w:ascii="Arial" w:hAnsi="Arial" w:cs="Arial"/>
          <w:b/>
          <w:bCs/>
        </w:rPr>
        <w:t>must</w:t>
      </w:r>
      <w:r w:rsidRPr="0016402C">
        <w:rPr>
          <w:rFonts w:ascii="Arial" w:hAnsi="Arial" w:cs="Arial"/>
        </w:rPr>
        <w:t xml:space="preserve"> be assessed and formally approved by the AI Governance Committee before it is used within the Organisation. The Committee's decisions are reported to the Board.</w:t>
      </w:r>
    </w:p>
    <w:p w14:paraId="6F5F57D8"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 xml:space="preserve">AI tools will be evaluated using the six domains of the AI Governance Framework for ACCHOs: Culture, Community and Equity; Clinical; Technical; Supplier Accountability; Safety systems; and People. The assessment </w:t>
      </w:r>
      <w:r w:rsidRPr="0016402C">
        <w:rPr>
          <w:rFonts w:ascii="Arial" w:hAnsi="Arial" w:cs="Arial"/>
          <w:b/>
          <w:bCs/>
        </w:rPr>
        <w:t>must</w:t>
      </w:r>
      <w:r w:rsidRPr="0016402C">
        <w:rPr>
          <w:rFonts w:ascii="Arial" w:hAnsi="Arial" w:cs="Arial"/>
        </w:rPr>
        <w:t xml:space="preserve"> address the key questions in each domain, with reference to the </w:t>
      </w:r>
      <w:r>
        <w:rPr>
          <w:rFonts w:ascii="Arial" w:hAnsi="Arial" w:cs="Arial"/>
        </w:rPr>
        <w:t>four</w:t>
      </w:r>
      <w:r w:rsidRPr="0016402C">
        <w:rPr>
          <w:rFonts w:ascii="Arial" w:hAnsi="Arial" w:cs="Arial"/>
        </w:rPr>
        <w:t xml:space="preserve"> foundational principles</w:t>
      </w:r>
      <w:r>
        <w:rPr>
          <w:rFonts w:ascii="Arial" w:hAnsi="Arial" w:cs="Arial"/>
        </w:rPr>
        <w:t xml:space="preserve"> and how use of the AI tool will improve outcomes for patients</w:t>
      </w:r>
      <w:r w:rsidRPr="0016402C">
        <w:rPr>
          <w:rFonts w:ascii="Arial" w:hAnsi="Arial" w:cs="Arial"/>
        </w:rPr>
        <w:t>.</w:t>
      </w:r>
    </w:p>
    <w:p w14:paraId="37B9F999"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Pr>
          <w:rFonts w:ascii="Arial" w:hAnsi="Arial" w:cs="Arial"/>
        </w:rPr>
        <w:t>Procurement of AI tools must align with the Organisation’s Indigenous Procurement Policy, privacy policy, cyber security requirements and risk tolerance.</w:t>
      </w:r>
    </w:p>
    <w:p w14:paraId="74A92D6F"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 xml:space="preserve">Where an AI tool collects, processes or stores personal, sensitive or health information, or data subject to Indigenous Data Sovereignty obligations, a privacy and data sovereignty impact assessment </w:t>
      </w:r>
      <w:r w:rsidRPr="0016402C">
        <w:rPr>
          <w:rFonts w:ascii="Arial" w:hAnsi="Arial" w:cs="Arial"/>
          <w:b/>
          <w:bCs/>
        </w:rPr>
        <w:t>must</w:t>
      </w:r>
      <w:r w:rsidRPr="0016402C">
        <w:rPr>
          <w:rFonts w:ascii="Arial" w:hAnsi="Arial" w:cs="Arial"/>
        </w:rPr>
        <w:t xml:space="preserve"> be completed before the tool is deployed. Any cross-border transfer of patient data </w:t>
      </w:r>
      <w:r w:rsidRPr="0016402C">
        <w:rPr>
          <w:rFonts w:ascii="Arial" w:hAnsi="Arial" w:cs="Arial"/>
          <w:b/>
          <w:bCs/>
        </w:rPr>
        <w:t>must</w:t>
      </w:r>
      <w:r w:rsidRPr="0016402C">
        <w:rPr>
          <w:rFonts w:ascii="Arial" w:hAnsi="Arial" w:cs="Arial"/>
        </w:rPr>
        <w:t xml:space="preserve"> be documented, justified and consistent with Australian Privacy Principle 8.</w:t>
      </w:r>
    </w:p>
    <w:p w14:paraId="1940E6C6"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AI tools that cannot meet the Organisation's risk tolerance, or that cannot satisfy the questions in any Framework domain without remediation, will not be approved.</w:t>
      </w:r>
    </w:p>
    <w:p w14:paraId="69E1FFB0"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 xml:space="preserve">The AI Tools Register </w:t>
      </w:r>
      <w:r w:rsidRPr="0016402C">
        <w:rPr>
          <w:rFonts w:ascii="Arial" w:hAnsi="Arial" w:cs="Arial"/>
          <w:b/>
          <w:bCs/>
        </w:rPr>
        <w:t>must</w:t>
      </w:r>
      <w:r w:rsidRPr="0016402C">
        <w:rPr>
          <w:rFonts w:ascii="Arial" w:hAnsi="Arial" w:cs="Arial"/>
        </w:rPr>
        <w:t xml:space="preserve"> be kept current. A tool is not approved until it appears in the register.</w:t>
      </w:r>
    </w:p>
    <w:p w14:paraId="1E1AE0E6" w14:textId="77777777" w:rsidR="00753987" w:rsidRPr="0016402C"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 xml:space="preserve">Approved AI tools </w:t>
      </w:r>
      <w:r w:rsidRPr="0016402C">
        <w:rPr>
          <w:rFonts w:ascii="Arial" w:hAnsi="Arial" w:cs="Arial"/>
          <w:b/>
          <w:bCs/>
        </w:rPr>
        <w:t>must</w:t>
      </w:r>
      <w:r w:rsidRPr="0016402C">
        <w:rPr>
          <w:rFonts w:ascii="Arial" w:hAnsi="Arial" w:cs="Arial"/>
        </w:rPr>
        <w:t xml:space="preserve"> be reviewed at a defined cadence </w:t>
      </w:r>
      <w:r w:rsidRPr="0016402C">
        <w:rPr>
          <w:rFonts w:ascii="Arial" w:hAnsi="Arial" w:cs="Arial"/>
          <w:b/>
          <w:bCs/>
          <w:highlight w:val="cyan"/>
        </w:rPr>
        <w:t>[Insert cadence, e.g. annually]</w:t>
      </w:r>
      <w:r w:rsidRPr="0016402C">
        <w:rPr>
          <w:rFonts w:ascii="Arial" w:hAnsi="Arial" w:cs="Arial"/>
        </w:rPr>
        <w:t xml:space="preserve">, and re-assessed when there is a material change in the tool's scope, usage or operation, including vendor-initiated model changes. Tools assessed as high risk, or touching the collective rights or data of </w:t>
      </w:r>
      <w:r w:rsidRPr="0016402C">
        <w:rPr>
          <w:rFonts w:ascii="Arial" w:hAnsi="Arial" w:cs="Arial"/>
        </w:rPr>
        <w:lastRenderedPageBreak/>
        <w:t>Aboriginal and Torres Strait Islander people, are governed through the Board and reviewed at least every 12 months.</w:t>
      </w:r>
    </w:p>
    <w:p w14:paraId="0832A8DB" w14:textId="77777777" w:rsidR="00753987" w:rsidRPr="00D1445F" w:rsidRDefault="00753987" w:rsidP="00753987">
      <w:pPr>
        <w:pStyle w:val="Heading2"/>
        <w:numPr>
          <w:ilvl w:val="0"/>
          <w:numId w:val="25"/>
        </w:numPr>
        <w:rPr>
          <w:color w:val="001441" w:themeColor="text1"/>
        </w:rPr>
      </w:pPr>
      <w:bookmarkStart w:id="361" w:name="_Toc238474924"/>
      <w:bookmarkStart w:id="362" w:name="_Toc238475838"/>
      <w:bookmarkStart w:id="363" w:name="_Toc238562156"/>
      <w:bookmarkStart w:id="364" w:name="_Toc238564234"/>
      <w:bookmarkStart w:id="365" w:name="_Toc239257339"/>
      <w:bookmarkStart w:id="366" w:name="_Toc239257442"/>
      <w:bookmarkStart w:id="367" w:name="_Toc239257543"/>
      <w:bookmarkStart w:id="368" w:name="_Toc240894380"/>
      <w:bookmarkStart w:id="369" w:name="_Toc240894596"/>
      <w:bookmarkStart w:id="370" w:name="_Toc240897438"/>
      <w:bookmarkStart w:id="371" w:name="_Toc240897591"/>
      <w:bookmarkStart w:id="372" w:name="_Toc240956409"/>
      <w:r w:rsidRPr="00D1445F">
        <w:rPr>
          <w:color w:val="001441" w:themeColor="text1"/>
        </w:rPr>
        <w:t>Board and AI Governance Committee Accountability</w:t>
      </w:r>
      <w:bookmarkEnd w:id="361"/>
      <w:bookmarkEnd w:id="362"/>
      <w:bookmarkEnd w:id="363"/>
      <w:bookmarkEnd w:id="364"/>
      <w:bookmarkEnd w:id="365"/>
      <w:bookmarkEnd w:id="366"/>
      <w:bookmarkEnd w:id="367"/>
      <w:bookmarkEnd w:id="368"/>
      <w:bookmarkEnd w:id="369"/>
      <w:bookmarkEnd w:id="370"/>
      <w:bookmarkEnd w:id="371"/>
      <w:bookmarkEnd w:id="372"/>
    </w:p>
    <w:p w14:paraId="1A84901C" w14:textId="77777777" w:rsidR="00753987" w:rsidRDefault="00753987" w:rsidP="00753987">
      <w:pPr>
        <w:pStyle w:val="ListParagraph"/>
        <w:numPr>
          <w:ilvl w:val="1"/>
          <w:numId w:val="25"/>
        </w:numPr>
        <w:tabs>
          <w:tab w:val="clear" w:pos="284"/>
          <w:tab w:val="clear" w:pos="567"/>
          <w:tab w:val="clear" w:pos="851"/>
        </w:tabs>
        <w:spacing w:after="240" w:line="240" w:lineRule="auto"/>
        <w:contextualSpacing w:val="0"/>
        <w:rPr>
          <w:rFonts w:ascii="Arial" w:hAnsi="Arial" w:cs="Arial"/>
        </w:rPr>
      </w:pPr>
      <w:r>
        <w:rPr>
          <w:rFonts w:ascii="Arial" w:hAnsi="Arial" w:cs="Arial"/>
        </w:rPr>
        <w:t>The Organisation’s Board is responsible for overall oversight of AI governance within the Organisation. This responsibility cannot be delegated.</w:t>
      </w:r>
    </w:p>
    <w:p w14:paraId="6A993EA3" w14:textId="77777777" w:rsidR="00753987" w:rsidRDefault="00753987" w:rsidP="00753987">
      <w:pPr>
        <w:pStyle w:val="ListParagraph"/>
        <w:numPr>
          <w:ilvl w:val="1"/>
          <w:numId w:val="25"/>
        </w:numPr>
        <w:tabs>
          <w:tab w:val="clear" w:pos="284"/>
          <w:tab w:val="clear" w:pos="567"/>
          <w:tab w:val="clear" w:pos="851"/>
        </w:tabs>
        <w:spacing w:after="240" w:line="240" w:lineRule="auto"/>
        <w:contextualSpacing w:val="0"/>
        <w:rPr>
          <w:rFonts w:ascii="Arial" w:hAnsi="Arial" w:cs="Arial"/>
        </w:rPr>
      </w:pPr>
      <w:r>
        <w:rPr>
          <w:rFonts w:ascii="Arial" w:hAnsi="Arial" w:cs="Arial"/>
        </w:rPr>
        <w:t xml:space="preserve"> The AI Governance Committee [or equivalent] must report to the Board at a defined </w:t>
      </w:r>
      <w:r w:rsidRPr="00585C7F">
        <w:rPr>
          <w:rFonts w:ascii="Arial" w:hAnsi="Arial" w:cs="Arial"/>
          <w:b/>
          <w:bCs/>
        </w:rPr>
        <w:t xml:space="preserve">cadence </w:t>
      </w:r>
      <w:r w:rsidRPr="00585C7F">
        <w:rPr>
          <w:rFonts w:ascii="Arial" w:hAnsi="Arial" w:cs="Arial"/>
          <w:b/>
          <w:bCs/>
          <w:highlight w:val="cyan"/>
        </w:rPr>
        <w:t xml:space="preserve">[insert cadence, </w:t>
      </w:r>
      <w:proofErr w:type="spellStart"/>
      <w:r w:rsidRPr="00585C7F">
        <w:rPr>
          <w:rFonts w:ascii="Arial" w:hAnsi="Arial" w:cs="Arial"/>
          <w:b/>
          <w:bCs/>
          <w:highlight w:val="cyan"/>
        </w:rPr>
        <w:t>eg</w:t>
      </w:r>
      <w:proofErr w:type="spellEnd"/>
      <w:r w:rsidRPr="00585C7F">
        <w:rPr>
          <w:rFonts w:ascii="Arial" w:hAnsi="Arial" w:cs="Arial"/>
          <w:b/>
          <w:bCs/>
          <w:highlight w:val="cyan"/>
        </w:rPr>
        <w:t xml:space="preserve"> annually]</w:t>
      </w:r>
      <w:r>
        <w:rPr>
          <w:rFonts w:ascii="Arial" w:hAnsi="Arial" w:cs="Arial"/>
        </w:rPr>
        <w:t xml:space="preserve"> on AI use and incidents. Material risks or incidents must be escalated to the Board as soon as reasonably possible.  </w:t>
      </w:r>
    </w:p>
    <w:p w14:paraId="1404E376" w14:textId="77777777" w:rsidR="00753987" w:rsidRPr="00390016" w:rsidRDefault="00753987" w:rsidP="00753987">
      <w:pPr>
        <w:pStyle w:val="ListParagraph"/>
        <w:numPr>
          <w:ilvl w:val="1"/>
          <w:numId w:val="25"/>
        </w:numPr>
        <w:tabs>
          <w:tab w:val="clear" w:pos="284"/>
          <w:tab w:val="clear" w:pos="567"/>
          <w:tab w:val="clear" w:pos="851"/>
        </w:tabs>
        <w:spacing w:after="240" w:line="240" w:lineRule="auto"/>
        <w:contextualSpacing w:val="0"/>
        <w:rPr>
          <w:rFonts w:ascii="Arial" w:hAnsi="Arial" w:cs="Arial"/>
        </w:rPr>
      </w:pPr>
      <w:r>
        <w:rPr>
          <w:rFonts w:ascii="Arial" w:hAnsi="Arial" w:cs="Arial"/>
        </w:rPr>
        <w:t>The AI Governance Committee [or equivalent] is responsible for:</w:t>
      </w:r>
    </w:p>
    <w:p w14:paraId="1A96DD18" w14:textId="77777777" w:rsidR="00753987" w:rsidRDefault="00753987" w:rsidP="00753987">
      <w:pPr>
        <w:pStyle w:val="ListParagraph"/>
        <w:numPr>
          <w:ilvl w:val="2"/>
          <w:numId w:val="25"/>
        </w:numPr>
        <w:tabs>
          <w:tab w:val="clear" w:pos="284"/>
          <w:tab w:val="clear" w:pos="567"/>
          <w:tab w:val="clear" w:pos="851"/>
        </w:tabs>
        <w:spacing w:after="240" w:line="240" w:lineRule="auto"/>
        <w:contextualSpacing w:val="0"/>
        <w:rPr>
          <w:rFonts w:ascii="Arial" w:hAnsi="Arial" w:cs="Arial"/>
        </w:rPr>
      </w:pPr>
      <w:r>
        <w:rPr>
          <w:rFonts w:ascii="Arial" w:hAnsi="Arial" w:cs="Arial"/>
        </w:rPr>
        <w:t>Assessing and approving all AI tools prior to deployment and use by the Organisation (see 5.3 and 5.4 for assessment requirements)</w:t>
      </w:r>
    </w:p>
    <w:p w14:paraId="28AC902D" w14:textId="77777777" w:rsidR="00753987" w:rsidRDefault="00753987" w:rsidP="00753987">
      <w:pPr>
        <w:pStyle w:val="ListParagraph"/>
        <w:numPr>
          <w:ilvl w:val="2"/>
          <w:numId w:val="25"/>
        </w:numPr>
        <w:tabs>
          <w:tab w:val="clear" w:pos="284"/>
          <w:tab w:val="clear" w:pos="567"/>
          <w:tab w:val="clear" w:pos="851"/>
        </w:tabs>
        <w:spacing w:after="240" w:line="240" w:lineRule="auto"/>
        <w:contextualSpacing w:val="0"/>
        <w:rPr>
          <w:rFonts w:ascii="Arial" w:hAnsi="Arial" w:cs="Arial"/>
        </w:rPr>
      </w:pPr>
      <w:r>
        <w:rPr>
          <w:rFonts w:ascii="Arial" w:hAnsi="Arial" w:cs="Arial"/>
        </w:rPr>
        <w:t xml:space="preserve">Developing, implementing and maintaining the AI Tools Register </w:t>
      </w:r>
    </w:p>
    <w:p w14:paraId="7F23D97F" w14:textId="77777777" w:rsidR="00753987" w:rsidRDefault="00753987" w:rsidP="00753987">
      <w:pPr>
        <w:pStyle w:val="ListParagraph"/>
        <w:numPr>
          <w:ilvl w:val="2"/>
          <w:numId w:val="25"/>
        </w:numPr>
        <w:tabs>
          <w:tab w:val="clear" w:pos="284"/>
          <w:tab w:val="clear" w:pos="567"/>
          <w:tab w:val="clear" w:pos="851"/>
        </w:tabs>
        <w:spacing w:after="240" w:line="240" w:lineRule="auto"/>
        <w:contextualSpacing w:val="0"/>
        <w:rPr>
          <w:rFonts w:ascii="Arial" w:hAnsi="Arial" w:cs="Arial"/>
        </w:rPr>
      </w:pPr>
      <w:r>
        <w:rPr>
          <w:rFonts w:ascii="Arial" w:hAnsi="Arial" w:cs="Arial"/>
        </w:rPr>
        <w:t>Reviewing AI Tools on the register (see 5.7)</w:t>
      </w:r>
    </w:p>
    <w:p w14:paraId="1D5BE476" w14:textId="77777777" w:rsidR="00753987" w:rsidRDefault="00753987" w:rsidP="00753987">
      <w:pPr>
        <w:pStyle w:val="ListParagraph"/>
        <w:numPr>
          <w:ilvl w:val="2"/>
          <w:numId w:val="25"/>
        </w:numPr>
        <w:tabs>
          <w:tab w:val="clear" w:pos="284"/>
          <w:tab w:val="clear" w:pos="567"/>
          <w:tab w:val="clear" w:pos="851"/>
        </w:tabs>
        <w:spacing w:after="240" w:line="240" w:lineRule="auto"/>
        <w:contextualSpacing w:val="0"/>
        <w:rPr>
          <w:rFonts w:ascii="Arial" w:hAnsi="Arial" w:cs="Arial"/>
        </w:rPr>
      </w:pPr>
      <w:r>
        <w:rPr>
          <w:rFonts w:ascii="Arial" w:hAnsi="Arial" w:cs="Arial"/>
        </w:rPr>
        <w:t xml:space="preserve">Overseeing adherence to this policy </w:t>
      </w:r>
    </w:p>
    <w:p w14:paraId="69583824" w14:textId="77777777" w:rsidR="00753987" w:rsidRDefault="00753987" w:rsidP="00753987">
      <w:pPr>
        <w:pStyle w:val="ListParagraph"/>
        <w:numPr>
          <w:ilvl w:val="2"/>
          <w:numId w:val="25"/>
        </w:numPr>
        <w:tabs>
          <w:tab w:val="clear" w:pos="284"/>
          <w:tab w:val="clear" w:pos="567"/>
          <w:tab w:val="clear" w:pos="851"/>
        </w:tabs>
        <w:spacing w:after="0" w:line="240" w:lineRule="auto"/>
        <w:contextualSpacing w:val="0"/>
        <w:rPr>
          <w:rFonts w:ascii="Arial" w:hAnsi="Arial" w:cs="Arial"/>
        </w:rPr>
      </w:pPr>
      <w:r>
        <w:rPr>
          <w:rFonts w:ascii="Arial" w:hAnsi="Arial" w:cs="Arial"/>
        </w:rPr>
        <w:t xml:space="preserve">Reviewing and updating this policy </w:t>
      </w:r>
    </w:p>
    <w:p w14:paraId="786E9C89" w14:textId="77777777" w:rsidR="00753987" w:rsidRPr="00390016" w:rsidRDefault="00753987" w:rsidP="00753987">
      <w:pPr>
        <w:pStyle w:val="ListParagraph"/>
        <w:ind w:left="360"/>
        <w:rPr>
          <w:rFonts w:ascii="Arial" w:hAnsi="Arial" w:cs="Arial"/>
        </w:rPr>
      </w:pPr>
    </w:p>
    <w:p w14:paraId="46781D58" w14:textId="77777777" w:rsidR="00753987" w:rsidRPr="00585C7F" w:rsidRDefault="00753987" w:rsidP="00753987">
      <w:pPr>
        <w:pStyle w:val="Heading2"/>
        <w:numPr>
          <w:ilvl w:val="0"/>
          <w:numId w:val="25"/>
        </w:numPr>
        <w:rPr>
          <w:color w:val="001441" w:themeColor="text1"/>
        </w:rPr>
      </w:pPr>
      <w:bookmarkStart w:id="373" w:name="_Toc238474925"/>
      <w:bookmarkStart w:id="374" w:name="_Toc238475839"/>
      <w:bookmarkStart w:id="375" w:name="_Toc238562157"/>
      <w:bookmarkStart w:id="376" w:name="_Toc238564235"/>
      <w:bookmarkStart w:id="377" w:name="_Toc239257340"/>
      <w:bookmarkStart w:id="378" w:name="_Toc239257443"/>
      <w:bookmarkStart w:id="379" w:name="_Toc239257544"/>
      <w:bookmarkStart w:id="380" w:name="_Toc240894381"/>
      <w:bookmarkStart w:id="381" w:name="_Toc240894597"/>
      <w:bookmarkStart w:id="382" w:name="_Toc240897439"/>
      <w:bookmarkStart w:id="383" w:name="_Toc240897592"/>
      <w:bookmarkStart w:id="384" w:name="_Toc240956410"/>
      <w:r w:rsidRPr="00585C7F">
        <w:rPr>
          <w:color w:val="001441" w:themeColor="text1"/>
        </w:rPr>
        <w:t>Transparency and personal accountability</w:t>
      </w:r>
      <w:bookmarkEnd w:id="373"/>
      <w:bookmarkEnd w:id="374"/>
      <w:bookmarkEnd w:id="375"/>
      <w:bookmarkEnd w:id="376"/>
      <w:bookmarkEnd w:id="377"/>
      <w:bookmarkEnd w:id="378"/>
      <w:bookmarkEnd w:id="379"/>
      <w:bookmarkEnd w:id="380"/>
      <w:bookmarkEnd w:id="381"/>
      <w:bookmarkEnd w:id="382"/>
      <w:bookmarkEnd w:id="383"/>
      <w:bookmarkEnd w:id="384"/>
    </w:p>
    <w:p w14:paraId="090A9044"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 xml:space="preserve">Use of an AI tool does not transfer professional accountability to the tool or the vendor. Every user remains accountable for outputs they rely on. </w:t>
      </w:r>
      <w:proofErr w:type="spellStart"/>
      <w:r w:rsidRPr="0016402C">
        <w:rPr>
          <w:rFonts w:ascii="Arial" w:hAnsi="Arial" w:cs="Arial"/>
        </w:rPr>
        <w:t>Ahpra</w:t>
      </w:r>
      <w:proofErr w:type="spellEnd"/>
      <w:r w:rsidRPr="0016402C">
        <w:rPr>
          <w:rFonts w:ascii="Arial" w:hAnsi="Arial" w:cs="Arial"/>
        </w:rPr>
        <w:t xml:space="preserve"> has confirmed that AI use does not alter registered practitioners' existing professional obligations.</w:t>
      </w:r>
    </w:p>
    <w:p w14:paraId="754D2544"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 xml:space="preserve">Every output is unverified until a person has checked it. Users are responsible for questioning AI outputs and verifying them against authoritative sources before relying on them. </w:t>
      </w:r>
    </w:p>
    <w:p w14:paraId="2B9B941F" w14:textId="77777777" w:rsidR="00753987" w:rsidRDefault="00753987" w:rsidP="00753987">
      <w:pPr>
        <w:pStyle w:val="ListParagraph"/>
        <w:numPr>
          <w:ilvl w:val="2"/>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Outputs may contain hallucinations or reflect bias in underlying datasets, including documented underperformance on Aboriginal and Torres Strait Islander patients.</w:t>
      </w:r>
    </w:p>
    <w:p w14:paraId="0A8E2AD4"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 xml:space="preserve">Clinicians </w:t>
      </w:r>
      <w:r w:rsidRPr="0016402C">
        <w:rPr>
          <w:rFonts w:ascii="Arial" w:hAnsi="Arial" w:cs="Arial"/>
          <w:b/>
          <w:bCs/>
        </w:rPr>
        <w:t>must</w:t>
      </w:r>
      <w:r w:rsidRPr="0016402C">
        <w:rPr>
          <w:rFonts w:ascii="Arial" w:hAnsi="Arial" w:cs="Arial"/>
        </w:rPr>
        <w:t xml:space="preserve"> review and approve any AI-generated content before it is saved to the patient record, communicated to the patient, or relied upon in clinical decision-making. </w:t>
      </w:r>
    </w:p>
    <w:p w14:paraId="0B0DB806"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 xml:space="preserve">Clinicians </w:t>
      </w:r>
      <w:r w:rsidRPr="0016402C">
        <w:rPr>
          <w:rFonts w:ascii="Arial" w:hAnsi="Arial" w:cs="Arial"/>
          <w:b/>
          <w:bCs/>
        </w:rPr>
        <w:t>must</w:t>
      </w:r>
      <w:r w:rsidRPr="0016402C">
        <w:rPr>
          <w:rFonts w:ascii="Arial" w:hAnsi="Arial" w:cs="Arial"/>
        </w:rPr>
        <w:t xml:space="preserve"> override or disregard an AI output where it conflicts with their clinical judgement, the patient's circumstances or cultural context. Overriding an AI tool is a normal and expected part of safe use, never a performance issue.</w:t>
      </w:r>
    </w:p>
    <w:p w14:paraId="285969B7"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 xml:space="preserve">AI tools </w:t>
      </w:r>
      <w:r w:rsidRPr="0016402C">
        <w:rPr>
          <w:rFonts w:ascii="Arial" w:hAnsi="Arial" w:cs="Arial"/>
          <w:b/>
          <w:bCs/>
        </w:rPr>
        <w:t>must</w:t>
      </w:r>
      <w:r w:rsidRPr="0016402C">
        <w:rPr>
          <w:rFonts w:ascii="Arial" w:hAnsi="Arial" w:cs="Arial"/>
        </w:rPr>
        <w:t xml:space="preserve"> only be used on devices, networks and access arrangements the Organisation has approved.</w:t>
      </w:r>
    </w:p>
    <w:p w14:paraId="0939596A"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 xml:space="preserve">Where an AI tool has substantially shaped a document, analysis or communication, that contribution </w:t>
      </w:r>
      <w:r w:rsidRPr="0016402C">
        <w:rPr>
          <w:rFonts w:ascii="Arial" w:hAnsi="Arial" w:cs="Arial"/>
          <w:b/>
          <w:bCs/>
        </w:rPr>
        <w:t>must</w:t>
      </w:r>
      <w:r w:rsidRPr="0016402C">
        <w:rPr>
          <w:rFonts w:ascii="Arial" w:hAnsi="Arial" w:cs="Arial"/>
        </w:rPr>
        <w:t xml:space="preserve"> be disclosed to the person responsible for that work. Disclosure beyond the Organisation is required where professional obligations, funding agreements or regulation call for it.</w:t>
      </w:r>
    </w:p>
    <w:p w14:paraId="7827F95E"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 xml:space="preserve">Users </w:t>
      </w:r>
      <w:r w:rsidRPr="0016402C">
        <w:rPr>
          <w:rFonts w:ascii="Arial" w:hAnsi="Arial" w:cs="Arial"/>
          <w:b/>
          <w:bCs/>
        </w:rPr>
        <w:t>must</w:t>
      </w:r>
      <w:r w:rsidRPr="0016402C">
        <w:rPr>
          <w:rFonts w:ascii="Arial" w:hAnsi="Arial" w:cs="Arial"/>
        </w:rPr>
        <w:t xml:space="preserve"> keep a record of significant AI tool use (the tool, the date and the task) so the Organisation can show how a document or decision was produced if an audit, complaint or regulator asks.</w:t>
      </w:r>
    </w:p>
    <w:p w14:paraId="30967E64" w14:textId="77777777" w:rsidR="00753987" w:rsidRPr="0016402C" w:rsidRDefault="00753987" w:rsidP="00753987">
      <w:pPr>
        <w:pStyle w:val="ListParagraph"/>
        <w:tabs>
          <w:tab w:val="left" w:pos="720"/>
        </w:tabs>
        <w:spacing w:line="300" w:lineRule="auto"/>
        <w:ind w:left="792"/>
        <w:rPr>
          <w:rFonts w:ascii="Arial" w:hAnsi="Arial" w:cs="Arial"/>
        </w:rPr>
      </w:pPr>
    </w:p>
    <w:p w14:paraId="187B83E5" w14:textId="77777777" w:rsidR="00753987" w:rsidRPr="00585C7F" w:rsidRDefault="00753987" w:rsidP="00753987">
      <w:pPr>
        <w:pStyle w:val="Heading2"/>
        <w:numPr>
          <w:ilvl w:val="0"/>
          <w:numId w:val="25"/>
        </w:numPr>
        <w:rPr>
          <w:color w:val="001441" w:themeColor="text1"/>
        </w:rPr>
      </w:pPr>
      <w:bookmarkStart w:id="385" w:name="_Toc238474926"/>
      <w:bookmarkStart w:id="386" w:name="_Toc238475840"/>
      <w:bookmarkStart w:id="387" w:name="_Toc238562158"/>
      <w:bookmarkStart w:id="388" w:name="_Toc238564236"/>
      <w:bookmarkStart w:id="389" w:name="_Toc239257341"/>
      <w:bookmarkStart w:id="390" w:name="_Toc239257444"/>
      <w:bookmarkStart w:id="391" w:name="_Toc239257545"/>
      <w:bookmarkStart w:id="392" w:name="_Toc240894382"/>
      <w:bookmarkStart w:id="393" w:name="_Toc240894598"/>
      <w:bookmarkStart w:id="394" w:name="_Toc240897440"/>
      <w:bookmarkStart w:id="395" w:name="_Toc240897593"/>
      <w:bookmarkStart w:id="396" w:name="_Toc240956411"/>
      <w:r w:rsidRPr="00585C7F">
        <w:rPr>
          <w:color w:val="001441" w:themeColor="text1"/>
        </w:rPr>
        <w:lastRenderedPageBreak/>
        <w:t>How we approach patient and community matters</w:t>
      </w:r>
      <w:bookmarkEnd w:id="385"/>
      <w:bookmarkEnd w:id="386"/>
      <w:bookmarkEnd w:id="387"/>
      <w:bookmarkEnd w:id="388"/>
      <w:bookmarkEnd w:id="389"/>
      <w:bookmarkEnd w:id="390"/>
      <w:bookmarkEnd w:id="391"/>
      <w:bookmarkEnd w:id="392"/>
      <w:bookmarkEnd w:id="393"/>
      <w:bookmarkEnd w:id="394"/>
      <w:bookmarkEnd w:id="395"/>
      <w:bookmarkEnd w:id="396"/>
    </w:p>
    <w:p w14:paraId="557F9932"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 xml:space="preserve">Patients </w:t>
      </w:r>
      <w:r w:rsidRPr="0016402C">
        <w:rPr>
          <w:rFonts w:ascii="Arial" w:hAnsi="Arial" w:cs="Arial"/>
          <w:b/>
          <w:bCs/>
        </w:rPr>
        <w:t>must</w:t>
      </w:r>
      <w:r w:rsidRPr="0016402C">
        <w:rPr>
          <w:rFonts w:ascii="Arial" w:hAnsi="Arial" w:cs="Arial"/>
        </w:rPr>
        <w:t xml:space="preserve"> be informed and </w:t>
      </w:r>
      <w:r w:rsidRPr="0016402C">
        <w:rPr>
          <w:rFonts w:ascii="Arial" w:hAnsi="Arial" w:cs="Arial"/>
          <w:b/>
          <w:bCs/>
        </w:rPr>
        <w:t>must</w:t>
      </w:r>
      <w:r w:rsidRPr="0016402C">
        <w:rPr>
          <w:rFonts w:ascii="Arial" w:hAnsi="Arial" w:cs="Arial"/>
        </w:rPr>
        <w:t xml:space="preserve"> agree when an AI tool is used in their care, in a way they can understand, before the tool is used. </w:t>
      </w:r>
    </w:p>
    <w:p w14:paraId="1B24E510"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Fundamental consent requirements are unchanged by AI</w:t>
      </w:r>
      <w:r>
        <w:rPr>
          <w:rFonts w:ascii="Arial" w:hAnsi="Arial" w:cs="Arial"/>
        </w:rPr>
        <w:t>.</w:t>
      </w:r>
    </w:p>
    <w:p w14:paraId="71745EBE" w14:textId="77777777" w:rsidR="00753987" w:rsidRDefault="00753987" w:rsidP="00753987">
      <w:pPr>
        <w:pStyle w:val="ListParagraph"/>
        <w:numPr>
          <w:ilvl w:val="2"/>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the person must have capacity, consent voluntarily and have sufficient</w:t>
      </w:r>
      <w:r>
        <w:rPr>
          <w:rFonts w:ascii="Arial" w:hAnsi="Arial" w:cs="Arial"/>
        </w:rPr>
        <w:t xml:space="preserve"> </w:t>
      </w:r>
      <w:r w:rsidRPr="0016402C">
        <w:rPr>
          <w:rFonts w:ascii="Arial" w:hAnsi="Arial" w:cs="Arial"/>
        </w:rPr>
        <w:t xml:space="preserve">information. Where a patient declines, the consultation proceeds without the tool and the patient experiences no disadvantage. </w:t>
      </w:r>
    </w:p>
    <w:p w14:paraId="18638740" w14:textId="77777777" w:rsidR="00753987" w:rsidRPr="0016402C" w:rsidRDefault="00753987" w:rsidP="00753987">
      <w:pPr>
        <w:pStyle w:val="ListParagraph"/>
        <w:numPr>
          <w:ilvl w:val="2"/>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 xml:space="preserve">The patient’s consent or refusal </w:t>
      </w:r>
      <w:r w:rsidRPr="0016402C">
        <w:rPr>
          <w:rFonts w:ascii="Arial" w:hAnsi="Arial" w:cs="Arial"/>
          <w:b/>
          <w:bCs/>
        </w:rPr>
        <w:t>must</w:t>
      </w:r>
      <w:r w:rsidRPr="0016402C">
        <w:rPr>
          <w:rFonts w:ascii="Arial" w:hAnsi="Arial" w:cs="Arial"/>
        </w:rPr>
        <w:t xml:space="preserve"> be recorded in the patient’s notes</w:t>
      </w:r>
      <w:r w:rsidRPr="0016402C">
        <w:rPr>
          <w:rFonts w:ascii="Arial" w:hAnsi="Arial" w:cs="Arial"/>
          <w:highlight w:val="cyan"/>
        </w:rPr>
        <w:t xml:space="preserve">. </w:t>
      </w:r>
      <w:r w:rsidRPr="0016402C">
        <w:rPr>
          <w:rFonts w:ascii="Arial" w:hAnsi="Arial" w:cs="Arial"/>
          <w:b/>
          <w:bCs/>
          <w:highlight w:val="cyan"/>
        </w:rPr>
        <w:t>[Insert the Organisation's consent script and recording method for each Approved AI tool]</w:t>
      </w:r>
    </w:p>
    <w:p w14:paraId="3D486F34"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 xml:space="preserve">Before using an AI tool in a patient’s care, users </w:t>
      </w:r>
      <w:r w:rsidRPr="0016402C">
        <w:rPr>
          <w:rFonts w:ascii="Arial" w:hAnsi="Arial" w:cs="Arial"/>
          <w:b/>
          <w:bCs/>
        </w:rPr>
        <w:t>must</w:t>
      </w:r>
      <w:r w:rsidRPr="0016402C">
        <w:rPr>
          <w:rFonts w:ascii="Arial" w:hAnsi="Arial" w:cs="Arial"/>
        </w:rPr>
        <w:t xml:space="preserve"> check the AI Tools Register and the patient’s notes in the clinical information system for any restriction that applies to the tool or to that patient. This may be achieved by alerts or notifications that identify patient preference and checking the patient’s notes may be a per-consultation requirement. Familiarity with the conditions in the AI Tools Register is a per-tool requirement, met when the user is trained on the tool and whenever the register entry changes, not a check before every consultation.</w:t>
      </w:r>
    </w:p>
    <w:p w14:paraId="1EDEE646"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 xml:space="preserve">AI-generated content about Aboriginal and Torres Strait Islander people, cultures or communities for external communication </w:t>
      </w:r>
      <w:r w:rsidRPr="0016402C">
        <w:rPr>
          <w:rFonts w:ascii="Arial" w:hAnsi="Arial" w:cs="Arial"/>
          <w:b/>
          <w:bCs/>
        </w:rPr>
        <w:t>must</w:t>
      </w:r>
      <w:r w:rsidRPr="0016402C">
        <w:rPr>
          <w:rFonts w:ascii="Arial" w:hAnsi="Arial" w:cs="Arial"/>
        </w:rPr>
        <w:t xml:space="preserve"> receive appropriate cultural review before publication.</w:t>
      </w:r>
    </w:p>
    <w:p w14:paraId="6834D0BC"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 xml:space="preserve">The Organisation will make available to its community a statement outlining its approach to AI adoption and use, in a form and language appropriate to the community it serves, and will provide a pathway for patients and community to raise concerns about the Organisation's AI use. </w:t>
      </w:r>
    </w:p>
    <w:p w14:paraId="4D38BD2C" w14:textId="77777777" w:rsidR="00753987" w:rsidRDefault="00753987" w:rsidP="00753987">
      <w:pPr>
        <w:pStyle w:val="ListParagraph"/>
        <w:numPr>
          <w:ilvl w:val="2"/>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Where practical, the statement is made available before the clinical encounter (for example in waiting rooms, on the Organisation’s website and in recall letters), so that patients have the opportunity to consider AI use ahead of any consent conversation.</w:t>
      </w:r>
    </w:p>
    <w:p w14:paraId="14BE2B03"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 xml:space="preserve">Patient preferences about AI use </w:t>
      </w:r>
      <w:r w:rsidRPr="0016402C">
        <w:rPr>
          <w:rFonts w:ascii="Arial" w:hAnsi="Arial" w:cs="Arial"/>
          <w:b/>
          <w:bCs/>
        </w:rPr>
        <w:t>must</w:t>
      </w:r>
      <w:r w:rsidRPr="0016402C">
        <w:rPr>
          <w:rFonts w:ascii="Arial" w:hAnsi="Arial" w:cs="Arial"/>
        </w:rPr>
        <w:t xml:space="preserve"> be recorded in the clinical information system in a way that is easily retrievable at the point of care, such as an alert or flag where a patient does not agree to AI use.</w:t>
      </w:r>
    </w:p>
    <w:p w14:paraId="0B254586" w14:textId="6DCE3F61" w:rsidR="00753987" w:rsidRP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 xml:space="preserve">Where an Approved AI Tool handles a patient’s personal or administrative information without being used in their care (for example bookings, recalls or correspondence), per-interaction consent is not required. Instead, the use </w:t>
      </w:r>
      <w:r w:rsidRPr="0016402C">
        <w:rPr>
          <w:rFonts w:ascii="Arial" w:hAnsi="Arial" w:cs="Arial"/>
          <w:b/>
          <w:bCs/>
        </w:rPr>
        <w:t>must</w:t>
      </w:r>
      <w:r w:rsidRPr="0016402C">
        <w:rPr>
          <w:rFonts w:ascii="Arial" w:hAnsi="Arial" w:cs="Arial"/>
        </w:rPr>
        <w:t xml:space="preserve"> be covered by the Organisation’s privacy collection notice and the community statement under clause 8.4.</w:t>
      </w:r>
    </w:p>
    <w:p w14:paraId="2FE8D1AA" w14:textId="77777777" w:rsidR="00753987" w:rsidRPr="00585C7F" w:rsidRDefault="00753987" w:rsidP="00753987">
      <w:pPr>
        <w:pStyle w:val="Heading2"/>
        <w:numPr>
          <w:ilvl w:val="0"/>
          <w:numId w:val="25"/>
        </w:numPr>
        <w:rPr>
          <w:color w:val="001441" w:themeColor="text1"/>
        </w:rPr>
      </w:pPr>
      <w:bookmarkStart w:id="397" w:name="_Toc238474927"/>
      <w:bookmarkStart w:id="398" w:name="_Toc238475841"/>
      <w:bookmarkStart w:id="399" w:name="_Toc238562159"/>
      <w:bookmarkStart w:id="400" w:name="_Toc238564237"/>
      <w:bookmarkStart w:id="401" w:name="_Toc239257342"/>
      <w:bookmarkStart w:id="402" w:name="_Toc239257445"/>
      <w:bookmarkStart w:id="403" w:name="_Toc239257546"/>
      <w:bookmarkStart w:id="404" w:name="_Toc240894383"/>
      <w:bookmarkStart w:id="405" w:name="_Toc240894599"/>
      <w:bookmarkStart w:id="406" w:name="_Toc240897441"/>
      <w:bookmarkStart w:id="407" w:name="_Toc240897594"/>
      <w:bookmarkStart w:id="408" w:name="_Toc240956412"/>
      <w:r w:rsidRPr="00585C7F">
        <w:rPr>
          <w:color w:val="001441" w:themeColor="text1"/>
        </w:rPr>
        <w:t>AI incidents and reporting</w:t>
      </w:r>
      <w:bookmarkEnd w:id="397"/>
      <w:bookmarkEnd w:id="398"/>
      <w:bookmarkEnd w:id="399"/>
      <w:bookmarkEnd w:id="400"/>
      <w:bookmarkEnd w:id="401"/>
      <w:bookmarkEnd w:id="402"/>
      <w:bookmarkEnd w:id="403"/>
      <w:bookmarkEnd w:id="404"/>
      <w:bookmarkEnd w:id="405"/>
      <w:bookmarkEnd w:id="406"/>
      <w:bookmarkEnd w:id="407"/>
      <w:bookmarkEnd w:id="408"/>
    </w:p>
    <w:p w14:paraId="11C03224"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 xml:space="preserve">All users </w:t>
      </w:r>
      <w:r w:rsidRPr="0016402C">
        <w:rPr>
          <w:rFonts w:ascii="Arial" w:hAnsi="Arial" w:cs="Arial"/>
          <w:b/>
          <w:bCs/>
        </w:rPr>
        <w:t>must</w:t>
      </w:r>
      <w:r w:rsidRPr="0016402C">
        <w:rPr>
          <w:rFonts w:ascii="Arial" w:hAnsi="Arial" w:cs="Arial"/>
        </w:rPr>
        <w:t xml:space="preserve"> report AI incidents, including near misses, through the Organisation's incident management system </w:t>
      </w:r>
      <w:r w:rsidRPr="0016402C">
        <w:rPr>
          <w:rFonts w:ascii="Arial" w:hAnsi="Arial" w:cs="Arial"/>
          <w:b/>
          <w:bCs/>
          <w:highlight w:val="cyan"/>
        </w:rPr>
        <w:t>[Insert system/location]</w:t>
      </w:r>
      <w:r w:rsidRPr="0016402C">
        <w:rPr>
          <w:rFonts w:ascii="Arial" w:hAnsi="Arial" w:cs="Arial"/>
        </w:rPr>
        <w:t>. Incidents of use and misuse, not only technical malfunction, are reportable; misapplication of AI is more likely to lead to patient harm than technical faults.</w:t>
      </w:r>
    </w:p>
    <w:p w14:paraId="15503837"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Pr>
          <w:rFonts w:ascii="Arial" w:hAnsi="Arial" w:cs="Arial"/>
        </w:rPr>
        <w:t xml:space="preserve">Where an AI incident involves potential patient harm, a culturally unsafe output, or a data handling breach, use of the tool </w:t>
      </w:r>
      <w:r>
        <w:rPr>
          <w:rFonts w:ascii="Arial" w:hAnsi="Arial" w:cs="Arial"/>
          <w:b/>
          <w:bCs/>
        </w:rPr>
        <w:t>must</w:t>
      </w:r>
      <w:r>
        <w:rPr>
          <w:rFonts w:ascii="Arial" w:hAnsi="Arial" w:cs="Arial"/>
        </w:rPr>
        <w:t xml:space="preserve"> be suspended pending review by the AI Governance Committee.</w:t>
      </w:r>
    </w:p>
    <w:p w14:paraId="4189651B" w14:textId="77777777" w:rsidR="00753987"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t>Incident remediation is overseen by the AI Governance Committee or the Board, and findings reach community and clinical governance committees in a culturally safe way, not only the vendor or the technology lead.</w:t>
      </w:r>
    </w:p>
    <w:p w14:paraId="4EF88F74" w14:textId="77777777" w:rsidR="00753987" w:rsidRPr="0016402C" w:rsidRDefault="00753987" w:rsidP="00753987">
      <w:pPr>
        <w:pStyle w:val="ListParagraph"/>
        <w:numPr>
          <w:ilvl w:val="1"/>
          <w:numId w:val="25"/>
        </w:numPr>
        <w:tabs>
          <w:tab w:val="clear" w:pos="284"/>
          <w:tab w:val="clear" w:pos="567"/>
          <w:tab w:val="clear" w:pos="851"/>
          <w:tab w:val="left" w:pos="720"/>
        </w:tabs>
        <w:spacing w:line="300" w:lineRule="auto"/>
        <w:contextualSpacing w:val="0"/>
        <w:rPr>
          <w:rFonts w:ascii="Arial" w:hAnsi="Arial" w:cs="Arial"/>
        </w:rPr>
      </w:pPr>
      <w:r w:rsidRPr="0016402C">
        <w:rPr>
          <w:rFonts w:ascii="Arial" w:hAnsi="Arial" w:cs="Arial"/>
        </w:rPr>
        <w:lastRenderedPageBreak/>
        <w:t>Data breaches are managed under the Organisation's privacy and data breach response arrangements, including any notification obligations. Staff may report AI safety concerns without professional risk.</w:t>
      </w:r>
    </w:p>
    <w:p w14:paraId="30A43C65" w14:textId="77777777" w:rsidR="00753987" w:rsidRPr="00585C7F" w:rsidRDefault="00753987" w:rsidP="00753987">
      <w:pPr>
        <w:pStyle w:val="Heading2"/>
        <w:numPr>
          <w:ilvl w:val="0"/>
          <w:numId w:val="25"/>
        </w:numPr>
        <w:rPr>
          <w:color w:val="001441" w:themeColor="text1"/>
        </w:rPr>
      </w:pPr>
      <w:bookmarkStart w:id="409" w:name="_Toc238474928"/>
      <w:bookmarkStart w:id="410" w:name="_Toc238475842"/>
      <w:bookmarkStart w:id="411" w:name="_Toc238562160"/>
      <w:bookmarkStart w:id="412" w:name="_Toc238564238"/>
      <w:bookmarkStart w:id="413" w:name="_Toc239257343"/>
      <w:bookmarkStart w:id="414" w:name="_Toc239257446"/>
      <w:bookmarkStart w:id="415" w:name="_Toc239257547"/>
      <w:bookmarkStart w:id="416" w:name="_Toc240894384"/>
      <w:bookmarkStart w:id="417" w:name="_Toc240894600"/>
      <w:bookmarkStart w:id="418" w:name="_Toc240897442"/>
      <w:bookmarkStart w:id="419" w:name="_Toc240897595"/>
      <w:bookmarkStart w:id="420" w:name="_Toc240956413"/>
      <w:r w:rsidRPr="00585C7F">
        <w:rPr>
          <w:color w:val="001441" w:themeColor="text1"/>
        </w:rPr>
        <w:t>Training requirements</w:t>
      </w:r>
      <w:bookmarkEnd w:id="409"/>
      <w:bookmarkEnd w:id="410"/>
      <w:bookmarkEnd w:id="411"/>
      <w:bookmarkEnd w:id="412"/>
      <w:bookmarkEnd w:id="413"/>
      <w:bookmarkEnd w:id="414"/>
      <w:bookmarkEnd w:id="415"/>
      <w:bookmarkEnd w:id="416"/>
      <w:bookmarkEnd w:id="417"/>
      <w:bookmarkEnd w:id="418"/>
      <w:bookmarkEnd w:id="419"/>
      <w:bookmarkEnd w:id="420"/>
    </w:p>
    <w:p w14:paraId="27ADADB5" w14:textId="77777777" w:rsidR="00753987" w:rsidRDefault="00753987" w:rsidP="00753987">
      <w:pPr>
        <w:pStyle w:val="ListParagraph"/>
        <w:numPr>
          <w:ilvl w:val="1"/>
          <w:numId w:val="25"/>
        </w:numPr>
        <w:tabs>
          <w:tab w:val="clear" w:pos="284"/>
          <w:tab w:val="clear" w:pos="567"/>
          <w:tab w:val="clear" w:pos="851"/>
        </w:tabs>
        <w:spacing w:line="300" w:lineRule="auto"/>
        <w:ind w:left="851" w:hanging="491"/>
        <w:contextualSpacing w:val="0"/>
        <w:rPr>
          <w:rFonts w:ascii="Arial" w:hAnsi="Arial" w:cs="Arial"/>
        </w:rPr>
      </w:pPr>
      <w:r w:rsidRPr="0016402C">
        <w:rPr>
          <w:rFonts w:ascii="Arial" w:hAnsi="Arial" w:cs="Arial"/>
        </w:rPr>
        <w:t xml:space="preserve">All users </w:t>
      </w:r>
      <w:r w:rsidRPr="0016402C">
        <w:rPr>
          <w:rFonts w:ascii="Arial" w:hAnsi="Arial" w:cs="Arial"/>
          <w:b/>
          <w:bCs/>
        </w:rPr>
        <w:t>must</w:t>
      </w:r>
      <w:r w:rsidRPr="0016402C">
        <w:rPr>
          <w:rFonts w:ascii="Arial" w:hAnsi="Arial" w:cs="Arial"/>
        </w:rPr>
        <w:t xml:space="preserve"> complete the Organisation's foundational AI training before using any Approved AI tool. The Organisation supports staff to use Approved AI Tools confidently and well; training is intended as enablement as much as risk management.</w:t>
      </w:r>
    </w:p>
    <w:p w14:paraId="4CEDC960" w14:textId="77777777" w:rsidR="00753987" w:rsidRPr="00BE2130" w:rsidRDefault="00753987" w:rsidP="00753987">
      <w:pPr>
        <w:pStyle w:val="ListParagraph"/>
        <w:numPr>
          <w:ilvl w:val="1"/>
          <w:numId w:val="25"/>
        </w:numPr>
        <w:tabs>
          <w:tab w:val="clear" w:pos="284"/>
          <w:tab w:val="clear" w:pos="567"/>
          <w:tab w:val="clear" w:pos="851"/>
        </w:tabs>
        <w:spacing w:line="300" w:lineRule="auto"/>
        <w:ind w:left="851" w:hanging="491"/>
        <w:contextualSpacing w:val="0"/>
        <w:rPr>
          <w:rFonts w:ascii="Arial" w:hAnsi="Arial" w:cs="Arial"/>
        </w:rPr>
      </w:pPr>
      <w:r w:rsidRPr="00BE2130">
        <w:rPr>
          <w:rFonts w:ascii="Arial" w:hAnsi="Arial" w:cs="Arial"/>
        </w:rPr>
        <w:t>Foundational training covers:</w:t>
      </w:r>
    </w:p>
    <w:p w14:paraId="595352CC" w14:textId="77777777" w:rsidR="00753987" w:rsidRPr="00BE0688" w:rsidRDefault="00753987" w:rsidP="00753987">
      <w:pPr>
        <w:tabs>
          <w:tab w:val="left" w:pos="1440"/>
        </w:tabs>
        <w:spacing w:after="100" w:line="300" w:lineRule="auto"/>
        <w:ind w:left="1440" w:hanging="720"/>
        <w:rPr>
          <w:rFonts w:ascii="Arial" w:hAnsi="Arial" w:cs="Arial"/>
        </w:rPr>
      </w:pPr>
      <w:r>
        <w:rPr>
          <w:rFonts w:ascii="Arial" w:hAnsi="Arial" w:cs="Arial"/>
        </w:rPr>
        <w:t>(a)</w:t>
      </w:r>
      <w:r>
        <w:rPr>
          <w:rFonts w:ascii="Arial" w:hAnsi="Arial" w:cs="Arial"/>
        </w:rPr>
        <w:tab/>
        <w:t>what AI is and how it works;</w:t>
      </w:r>
    </w:p>
    <w:p w14:paraId="6C9C3DAA" w14:textId="77777777" w:rsidR="00753987" w:rsidRPr="00BE0688" w:rsidRDefault="00753987" w:rsidP="00753987">
      <w:pPr>
        <w:spacing w:after="100" w:line="300" w:lineRule="auto"/>
        <w:ind w:left="1440" w:hanging="720"/>
        <w:rPr>
          <w:rFonts w:ascii="Arial" w:hAnsi="Arial" w:cs="Arial"/>
        </w:rPr>
      </w:pPr>
      <w:r>
        <w:rPr>
          <w:rFonts w:ascii="Arial" w:hAnsi="Arial" w:cs="Arial"/>
        </w:rPr>
        <w:t>(b)</w:t>
      </w:r>
      <w:r>
        <w:rPr>
          <w:rFonts w:ascii="Arial" w:hAnsi="Arial" w:cs="Arial"/>
        </w:rPr>
        <w:tab/>
        <w:t>the limitations of AI, including hallucinations and algorithmic bias, and documented underperformance on non-representative populations;</w:t>
      </w:r>
    </w:p>
    <w:p w14:paraId="40F68FA1" w14:textId="77777777" w:rsidR="00753987" w:rsidRPr="00BE0688" w:rsidRDefault="00753987" w:rsidP="00753987">
      <w:pPr>
        <w:tabs>
          <w:tab w:val="left" w:pos="1440"/>
        </w:tabs>
        <w:spacing w:after="100" w:line="300" w:lineRule="auto"/>
        <w:ind w:left="1440" w:hanging="720"/>
        <w:rPr>
          <w:rFonts w:ascii="Arial" w:hAnsi="Arial" w:cs="Arial"/>
        </w:rPr>
      </w:pPr>
      <w:r>
        <w:rPr>
          <w:rFonts w:ascii="Arial" w:hAnsi="Arial" w:cs="Arial"/>
        </w:rPr>
        <w:t>(c)</w:t>
      </w:r>
      <w:r>
        <w:rPr>
          <w:rFonts w:ascii="Arial" w:hAnsi="Arial" w:cs="Arial"/>
        </w:rPr>
        <w:tab/>
        <w:t>the Organisation's AI policies, the Framework's foundational principles, and individual user obligations;</w:t>
      </w:r>
    </w:p>
    <w:p w14:paraId="4DF0EA7B" w14:textId="77777777" w:rsidR="00753987" w:rsidRPr="00BE0688" w:rsidRDefault="00753987" w:rsidP="00753987">
      <w:pPr>
        <w:tabs>
          <w:tab w:val="left" w:pos="1440"/>
        </w:tabs>
        <w:spacing w:after="100" w:line="300" w:lineRule="auto"/>
        <w:ind w:left="1440" w:hanging="720"/>
        <w:rPr>
          <w:rFonts w:ascii="Arial" w:hAnsi="Arial" w:cs="Arial"/>
        </w:rPr>
      </w:pPr>
      <w:r>
        <w:rPr>
          <w:rFonts w:ascii="Arial" w:hAnsi="Arial" w:cs="Arial"/>
        </w:rPr>
        <w:t>(d)</w:t>
      </w:r>
      <w:r>
        <w:rPr>
          <w:rFonts w:ascii="Arial" w:hAnsi="Arial" w:cs="Arial"/>
        </w:rPr>
        <w:tab/>
        <w:t xml:space="preserve">applicable legal and professional obligations, including </w:t>
      </w:r>
      <w:proofErr w:type="spellStart"/>
      <w:r>
        <w:rPr>
          <w:rFonts w:ascii="Arial" w:hAnsi="Arial" w:cs="Arial"/>
        </w:rPr>
        <w:t>Ahpra</w:t>
      </w:r>
      <w:proofErr w:type="spellEnd"/>
      <w:r>
        <w:rPr>
          <w:rFonts w:ascii="Arial" w:hAnsi="Arial" w:cs="Arial"/>
        </w:rPr>
        <w:t xml:space="preserve"> requirements and the Privacy Act;</w:t>
      </w:r>
    </w:p>
    <w:p w14:paraId="2E60461A" w14:textId="77777777" w:rsidR="00753987" w:rsidRPr="00BE0688" w:rsidRDefault="00753987" w:rsidP="00753987">
      <w:pPr>
        <w:tabs>
          <w:tab w:val="left" w:pos="1440"/>
        </w:tabs>
        <w:spacing w:after="100" w:line="300" w:lineRule="auto"/>
        <w:ind w:left="1440" w:hanging="720"/>
        <w:rPr>
          <w:rFonts w:ascii="Arial" w:hAnsi="Arial" w:cs="Arial"/>
        </w:rPr>
      </w:pPr>
      <w:r>
        <w:rPr>
          <w:rFonts w:ascii="Arial" w:hAnsi="Arial" w:cs="Arial"/>
        </w:rPr>
        <w:t>(e)</w:t>
      </w:r>
      <w:r>
        <w:rPr>
          <w:rFonts w:ascii="Arial" w:hAnsi="Arial" w:cs="Arial"/>
        </w:rPr>
        <w:tab/>
        <w:t>Indigenous Data Sovereignty and culturally safe AI use; and</w:t>
      </w:r>
    </w:p>
    <w:p w14:paraId="3E6E2FFB" w14:textId="77777777" w:rsidR="00753987" w:rsidRDefault="00753987" w:rsidP="00753987">
      <w:pPr>
        <w:tabs>
          <w:tab w:val="left" w:pos="1440"/>
        </w:tabs>
        <w:spacing w:after="100" w:line="300" w:lineRule="auto"/>
        <w:ind w:left="1440" w:hanging="720"/>
        <w:rPr>
          <w:rFonts w:ascii="Arial" w:hAnsi="Arial" w:cs="Arial"/>
        </w:rPr>
      </w:pPr>
      <w:r>
        <w:rPr>
          <w:rFonts w:ascii="Arial" w:hAnsi="Arial" w:cs="Arial"/>
        </w:rPr>
        <w:t>(f)</w:t>
      </w:r>
      <w:r>
        <w:rPr>
          <w:rFonts w:ascii="Arial" w:hAnsi="Arial" w:cs="Arial"/>
        </w:rPr>
        <w:tab/>
        <w:t>how to identify and report AI incidents and misuse.</w:t>
      </w:r>
    </w:p>
    <w:p w14:paraId="2433968A" w14:textId="77777777" w:rsidR="00753987" w:rsidRDefault="00753987" w:rsidP="00753987">
      <w:pPr>
        <w:tabs>
          <w:tab w:val="left" w:pos="1440"/>
        </w:tabs>
        <w:spacing w:after="100" w:line="300" w:lineRule="auto"/>
        <w:ind w:left="1440" w:hanging="720"/>
        <w:rPr>
          <w:rFonts w:ascii="Arial" w:hAnsi="Arial" w:cs="Arial"/>
        </w:rPr>
      </w:pPr>
    </w:p>
    <w:p w14:paraId="6A22E440" w14:textId="77777777" w:rsidR="00753987" w:rsidRDefault="00753987" w:rsidP="00753987">
      <w:pPr>
        <w:pStyle w:val="ListParagraph"/>
        <w:numPr>
          <w:ilvl w:val="1"/>
          <w:numId w:val="25"/>
        </w:numPr>
        <w:tabs>
          <w:tab w:val="left" w:pos="1440"/>
        </w:tabs>
        <w:spacing w:after="100" w:line="300" w:lineRule="auto"/>
        <w:rPr>
          <w:rFonts w:ascii="Arial" w:hAnsi="Arial" w:cs="Arial"/>
        </w:rPr>
      </w:pPr>
      <w:r w:rsidRPr="00523F0B">
        <w:rPr>
          <w:rFonts w:ascii="Arial" w:hAnsi="Arial" w:cs="Arial"/>
        </w:rPr>
        <w:t xml:space="preserve">Some AI tools require additional specialist training before access is granted. The AI Tools Register identifies which tools have mandatory training prerequisites. Users </w:t>
      </w:r>
      <w:r w:rsidRPr="00523F0B">
        <w:rPr>
          <w:rFonts w:ascii="Arial" w:hAnsi="Arial" w:cs="Arial"/>
          <w:b/>
          <w:bCs/>
        </w:rPr>
        <w:t>must not</w:t>
      </w:r>
      <w:r w:rsidRPr="00523F0B">
        <w:rPr>
          <w:rFonts w:ascii="Arial" w:hAnsi="Arial" w:cs="Arial"/>
        </w:rPr>
        <w:t xml:space="preserve"> use these tools until training is confirmed as complete.</w:t>
      </w:r>
    </w:p>
    <w:p w14:paraId="579B6D53" w14:textId="77777777" w:rsidR="00753987" w:rsidRDefault="00753987" w:rsidP="00753987">
      <w:pPr>
        <w:pStyle w:val="ListParagraph"/>
        <w:tabs>
          <w:tab w:val="left" w:pos="1440"/>
        </w:tabs>
        <w:spacing w:after="100" w:line="300" w:lineRule="auto"/>
        <w:ind w:left="792"/>
        <w:rPr>
          <w:rFonts w:ascii="Arial" w:hAnsi="Arial" w:cs="Arial"/>
        </w:rPr>
      </w:pPr>
    </w:p>
    <w:p w14:paraId="00BDEF95" w14:textId="77777777" w:rsidR="00753987" w:rsidRDefault="00753987" w:rsidP="00753987">
      <w:pPr>
        <w:pStyle w:val="ListParagraph"/>
        <w:numPr>
          <w:ilvl w:val="1"/>
          <w:numId w:val="25"/>
        </w:numPr>
        <w:tabs>
          <w:tab w:val="left" w:pos="1440"/>
        </w:tabs>
        <w:spacing w:after="100" w:line="300" w:lineRule="auto"/>
        <w:rPr>
          <w:rFonts w:ascii="Arial" w:hAnsi="Arial" w:cs="Arial"/>
        </w:rPr>
      </w:pPr>
      <w:r w:rsidRPr="00523F0B">
        <w:rPr>
          <w:rFonts w:ascii="Arial" w:hAnsi="Arial" w:cs="Arial"/>
        </w:rPr>
        <w:t xml:space="preserve">All users </w:t>
      </w:r>
      <w:r w:rsidRPr="00523F0B">
        <w:rPr>
          <w:rFonts w:ascii="Arial" w:hAnsi="Arial" w:cs="Arial"/>
          <w:b/>
          <w:bCs/>
        </w:rPr>
        <w:t>must</w:t>
      </w:r>
      <w:r w:rsidRPr="00523F0B">
        <w:rPr>
          <w:rFonts w:ascii="Arial" w:hAnsi="Arial" w:cs="Arial"/>
        </w:rPr>
        <w:t xml:space="preserve"> refresh their AI training at least once a year, or sooner if this policy is materially updated, a new AI tool is introduced, or there is a relevant change in law or regulation.</w:t>
      </w:r>
    </w:p>
    <w:p w14:paraId="119CE639" w14:textId="77777777" w:rsidR="00753987" w:rsidRDefault="00753987" w:rsidP="00753987">
      <w:pPr>
        <w:pStyle w:val="ListParagraph"/>
        <w:tabs>
          <w:tab w:val="left" w:pos="1440"/>
        </w:tabs>
        <w:spacing w:after="100" w:line="300" w:lineRule="auto"/>
        <w:ind w:left="792"/>
        <w:rPr>
          <w:rFonts w:ascii="Arial" w:hAnsi="Arial" w:cs="Arial"/>
        </w:rPr>
      </w:pPr>
    </w:p>
    <w:p w14:paraId="4B38C9F0" w14:textId="77777777" w:rsidR="00753987" w:rsidRDefault="00753987" w:rsidP="00753987">
      <w:pPr>
        <w:pStyle w:val="ListParagraph"/>
        <w:numPr>
          <w:ilvl w:val="1"/>
          <w:numId w:val="25"/>
        </w:numPr>
        <w:tabs>
          <w:tab w:val="left" w:pos="1440"/>
        </w:tabs>
        <w:spacing w:before="240" w:line="300" w:lineRule="auto"/>
        <w:rPr>
          <w:rFonts w:ascii="Arial" w:hAnsi="Arial" w:cs="Arial"/>
        </w:rPr>
      </w:pPr>
      <w:r w:rsidRPr="00523F0B">
        <w:rPr>
          <w:rFonts w:ascii="Arial" w:hAnsi="Arial" w:cs="Arial"/>
        </w:rPr>
        <w:t xml:space="preserve">Training records will be maintained by </w:t>
      </w:r>
      <w:r w:rsidRPr="00523F0B">
        <w:rPr>
          <w:rFonts w:ascii="Arial" w:hAnsi="Arial" w:cs="Arial"/>
          <w:b/>
          <w:bCs/>
          <w:highlight w:val="cyan"/>
        </w:rPr>
        <w:t>[Insert position or team]</w:t>
      </w:r>
      <w:r w:rsidRPr="00523F0B">
        <w:rPr>
          <w:rFonts w:ascii="Arial" w:hAnsi="Arial" w:cs="Arial"/>
        </w:rPr>
        <w:t xml:space="preserve"> and are subject to review by the AI Governance Committee. Training that touches clinical care or community-facing functions </w:t>
      </w:r>
      <w:r w:rsidRPr="00523F0B">
        <w:rPr>
          <w:rFonts w:ascii="Arial" w:hAnsi="Arial" w:cs="Arial"/>
          <w:b/>
          <w:bCs/>
        </w:rPr>
        <w:t>must</w:t>
      </w:r>
      <w:r w:rsidRPr="00523F0B">
        <w:rPr>
          <w:rFonts w:ascii="Arial" w:hAnsi="Arial" w:cs="Arial"/>
        </w:rPr>
        <w:t xml:space="preserve"> be led by, or co-designed with, Aboriginal and Torres Strait Islander health professionals. Where local workforce capacity does not allow this, the Organisation may draw on sector-level training developed or endorsed by NACCHO or affiliates.</w:t>
      </w:r>
    </w:p>
    <w:p w14:paraId="5CA7C820" w14:textId="77777777" w:rsidR="00753987" w:rsidRDefault="00753987" w:rsidP="00753987">
      <w:pPr>
        <w:pStyle w:val="ListParagraph"/>
        <w:tabs>
          <w:tab w:val="left" w:pos="1440"/>
        </w:tabs>
        <w:spacing w:before="240" w:line="300" w:lineRule="auto"/>
        <w:ind w:left="792"/>
        <w:rPr>
          <w:rFonts w:ascii="Arial" w:hAnsi="Arial" w:cs="Arial"/>
        </w:rPr>
      </w:pPr>
    </w:p>
    <w:p w14:paraId="2BB5642B" w14:textId="77777777" w:rsidR="00753987" w:rsidRPr="00523F0B" w:rsidRDefault="00753987" w:rsidP="00753987">
      <w:pPr>
        <w:pStyle w:val="ListParagraph"/>
        <w:numPr>
          <w:ilvl w:val="1"/>
          <w:numId w:val="25"/>
        </w:numPr>
        <w:tabs>
          <w:tab w:val="left" w:pos="1440"/>
        </w:tabs>
        <w:spacing w:after="100" w:line="300" w:lineRule="auto"/>
        <w:rPr>
          <w:rFonts w:ascii="Arial" w:hAnsi="Arial" w:cs="Arial"/>
        </w:rPr>
      </w:pPr>
      <w:r w:rsidRPr="00523F0B">
        <w:rPr>
          <w:rFonts w:ascii="Arial" w:hAnsi="Arial" w:cs="Arial"/>
        </w:rPr>
        <w:t xml:space="preserve">Board members </w:t>
      </w:r>
      <w:r w:rsidRPr="00523F0B">
        <w:rPr>
          <w:rFonts w:ascii="Arial" w:hAnsi="Arial" w:cs="Arial"/>
          <w:b/>
          <w:bCs/>
        </w:rPr>
        <w:t>should</w:t>
      </w:r>
      <w:r w:rsidRPr="00523F0B">
        <w:rPr>
          <w:rFonts w:ascii="Arial" w:hAnsi="Arial" w:cs="Arial"/>
        </w:rPr>
        <w:t xml:space="preserve"> complete AI training appropriate to their governance role, including a working understanding of the six domains and four foundational principles set out in the AI Governance Framework for ACCHOs, the consent and cultural safety obligations in this policy, and the Organisation’s AI incident reporting pathway. The Organisation may draw on sector-level Board training developed or endorsed by NACCHO or affiliates to meet this requirement.</w:t>
      </w:r>
    </w:p>
    <w:p w14:paraId="68D098B7" w14:textId="77777777" w:rsidR="00753987" w:rsidRPr="00585C7F" w:rsidRDefault="00753987" w:rsidP="00753987">
      <w:pPr>
        <w:pStyle w:val="Heading2"/>
        <w:numPr>
          <w:ilvl w:val="0"/>
          <w:numId w:val="25"/>
        </w:numPr>
        <w:rPr>
          <w:color w:val="001441" w:themeColor="text1"/>
        </w:rPr>
      </w:pPr>
      <w:bookmarkStart w:id="421" w:name="_Toc238474929"/>
      <w:bookmarkStart w:id="422" w:name="_Toc238475843"/>
      <w:bookmarkStart w:id="423" w:name="_Toc238562161"/>
      <w:bookmarkStart w:id="424" w:name="_Toc238564239"/>
      <w:bookmarkStart w:id="425" w:name="_Toc239257344"/>
      <w:bookmarkStart w:id="426" w:name="_Toc239257447"/>
      <w:bookmarkStart w:id="427" w:name="_Toc239257548"/>
      <w:bookmarkStart w:id="428" w:name="_Toc240894385"/>
      <w:bookmarkStart w:id="429" w:name="_Toc240894601"/>
      <w:bookmarkStart w:id="430" w:name="_Toc240897443"/>
      <w:bookmarkStart w:id="431" w:name="_Toc240897596"/>
      <w:bookmarkStart w:id="432" w:name="_Toc240956414"/>
      <w:r w:rsidRPr="00585C7F">
        <w:rPr>
          <w:color w:val="001441" w:themeColor="text1"/>
        </w:rPr>
        <w:t>Marketing and external communications</w:t>
      </w:r>
      <w:bookmarkEnd w:id="421"/>
      <w:bookmarkEnd w:id="422"/>
      <w:bookmarkEnd w:id="423"/>
      <w:bookmarkEnd w:id="424"/>
      <w:bookmarkEnd w:id="425"/>
      <w:bookmarkEnd w:id="426"/>
      <w:bookmarkEnd w:id="427"/>
      <w:bookmarkEnd w:id="428"/>
      <w:bookmarkEnd w:id="429"/>
      <w:bookmarkEnd w:id="430"/>
      <w:bookmarkEnd w:id="431"/>
      <w:bookmarkEnd w:id="432"/>
    </w:p>
    <w:p w14:paraId="257F8F2E" w14:textId="77777777" w:rsidR="00753987" w:rsidRDefault="00753987" w:rsidP="00753987">
      <w:pPr>
        <w:pStyle w:val="ListParagraph"/>
        <w:numPr>
          <w:ilvl w:val="1"/>
          <w:numId w:val="25"/>
        </w:numPr>
        <w:tabs>
          <w:tab w:val="clear" w:pos="284"/>
          <w:tab w:val="clear" w:pos="851"/>
        </w:tabs>
        <w:spacing w:line="300" w:lineRule="auto"/>
        <w:ind w:left="851" w:hanging="491"/>
        <w:contextualSpacing w:val="0"/>
        <w:rPr>
          <w:rFonts w:ascii="Arial" w:hAnsi="Arial" w:cs="Arial"/>
        </w:rPr>
      </w:pPr>
      <w:r>
        <w:rPr>
          <w:rFonts w:ascii="Arial" w:hAnsi="Arial" w:cs="Arial"/>
        </w:rPr>
        <w:t xml:space="preserve"> </w:t>
      </w:r>
      <w:r w:rsidRPr="0016402C">
        <w:rPr>
          <w:rFonts w:ascii="Arial" w:hAnsi="Arial" w:cs="Arial"/>
        </w:rPr>
        <w:t xml:space="preserve">All external communications, marketing materials, proposals, website content and </w:t>
      </w:r>
      <w:r>
        <w:rPr>
          <w:rFonts w:ascii="Arial" w:hAnsi="Arial" w:cs="Arial"/>
        </w:rPr>
        <w:t xml:space="preserve"> </w:t>
      </w:r>
      <w:r w:rsidRPr="0016402C">
        <w:rPr>
          <w:rFonts w:ascii="Arial" w:hAnsi="Arial" w:cs="Arial"/>
        </w:rPr>
        <w:t xml:space="preserve">public statements that refer to the Organisation's use of AI </w:t>
      </w:r>
      <w:r w:rsidRPr="0016402C">
        <w:rPr>
          <w:rFonts w:ascii="Arial" w:hAnsi="Arial" w:cs="Arial"/>
          <w:b/>
          <w:bCs/>
        </w:rPr>
        <w:t>must</w:t>
      </w:r>
      <w:r w:rsidRPr="0016402C">
        <w:rPr>
          <w:rFonts w:ascii="Arial" w:hAnsi="Arial" w:cs="Arial"/>
        </w:rPr>
        <w:t xml:space="preserve"> be approved by </w:t>
      </w:r>
      <w:r w:rsidRPr="0016402C">
        <w:rPr>
          <w:rFonts w:ascii="Arial" w:hAnsi="Arial" w:cs="Arial"/>
          <w:b/>
          <w:bCs/>
          <w:highlight w:val="cyan"/>
        </w:rPr>
        <w:t>[Insert position]</w:t>
      </w:r>
      <w:r w:rsidRPr="0016402C">
        <w:rPr>
          <w:rFonts w:ascii="Arial" w:hAnsi="Arial" w:cs="Arial"/>
        </w:rPr>
        <w:t xml:space="preserve"> before publication or distribution.</w:t>
      </w:r>
    </w:p>
    <w:p w14:paraId="29A4A45D" w14:textId="77777777" w:rsidR="00753987" w:rsidRPr="0016402C" w:rsidRDefault="00753987" w:rsidP="00753987">
      <w:pPr>
        <w:pStyle w:val="ListParagraph"/>
        <w:numPr>
          <w:ilvl w:val="1"/>
          <w:numId w:val="25"/>
        </w:numPr>
        <w:tabs>
          <w:tab w:val="clear" w:pos="284"/>
          <w:tab w:val="clear" w:pos="851"/>
        </w:tabs>
        <w:spacing w:line="300" w:lineRule="auto"/>
        <w:ind w:left="851" w:hanging="491"/>
        <w:contextualSpacing w:val="0"/>
        <w:rPr>
          <w:rFonts w:ascii="Arial" w:hAnsi="Arial" w:cs="Arial"/>
        </w:rPr>
      </w:pPr>
      <w:r w:rsidRPr="0016402C">
        <w:rPr>
          <w:rFonts w:ascii="Arial" w:hAnsi="Arial" w:cs="Arial"/>
        </w:rPr>
        <w:lastRenderedPageBreak/>
        <w:t>Where AI has been used substantially to produce material the Organisation provides to patients, funders or partners, the Organisation will consider stating that AI was used and how.</w:t>
      </w:r>
    </w:p>
    <w:p w14:paraId="2C4256A8" w14:textId="77777777" w:rsidR="00753987" w:rsidRPr="00585C7F" w:rsidRDefault="00753987" w:rsidP="00753987">
      <w:pPr>
        <w:pStyle w:val="Heading2"/>
        <w:numPr>
          <w:ilvl w:val="0"/>
          <w:numId w:val="25"/>
        </w:numPr>
        <w:rPr>
          <w:color w:val="001441" w:themeColor="text1"/>
        </w:rPr>
      </w:pPr>
      <w:bookmarkStart w:id="433" w:name="_Toc238474930"/>
      <w:bookmarkStart w:id="434" w:name="_Toc238475844"/>
      <w:bookmarkStart w:id="435" w:name="_Toc238562162"/>
      <w:bookmarkStart w:id="436" w:name="_Toc238564240"/>
      <w:bookmarkStart w:id="437" w:name="_Toc239257345"/>
      <w:bookmarkStart w:id="438" w:name="_Toc239257448"/>
      <w:bookmarkStart w:id="439" w:name="_Toc239257549"/>
      <w:bookmarkStart w:id="440" w:name="_Toc240894386"/>
      <w:bookmarkStart w:id="441" w:name="_Toc240894602"/>
      <w:bookmarkStart w:id="442" w:name="_Toc240897444"/>
      <w:bookmarkStart w:id="443" w:name="_Toc240897597"/>
      <w:bookmarkStart w:id="444" w:name="_Toc240956415"/>
      <w:r w:rsidRPr="00585C7F">
        <w:rPr>
          <w:color w:val="001441" w:themeColor="text1"/>
        </w:rPr>
        <w:t>Review of this policy</w:t>
      </w:r>
      <w:bookmarkEnd w:id="433"/>
      <w:bookmarkEnd w:id="434"/>
      <w:bookmarkEnd w:id="435"/>
      <w:bookmarkEnd w:id="436"/>
      <w:bookmarkEnd w:id="437"/>
      <w:bookmarkEnd w:id="438"/>
      <w:bookmarkEnd w:id="439"/>
      <w:bookmarkEnd w:id="440"/>
      <w:bookmarkEnd w:id="441"/>
      <w:bookmarkEnd w:id="442"/>
      <w:bookmarkEnd w:id="443"/>
      <w:bookmarkEnd w:id="444"/>
    </w:p>
    <w:p w14:paraId="080340D4" w14:textId="77777777" w:rsidR="00753987" w:rsidRPr="00D87EF8" w:rsidRDefault="00753987" w:rsidP="00753987">
      <w:pPr>
        <w:pStyle w:val="ListParagraph"/>
        <w:numPr>
          <w:ilvl w:val="1"/>
          <w:numId w:val="25"/>
        </w:numPr>
        <w:tabs>
          <w:tab w:val="clear" w:pos="284"/>
          <w:tab w:val="clear" w:pos="851"/>
        </w:tabs>
        <w:spacing w:line="300" w:lineRule="auto"/>
        <w:ind w:left="851" w:hanging="491"/>
        <w:contextualSpacing w:val="0"/>
        <w:rPr>
          <w:rFonts w:ascii="Arial" w:hAnsi="Arial" w:cs="Arial"/>
        </w:rPr>
      </w:pPr>
      <w:r w:rsidRPr="0021325C">
        <w:rPr>
          <w:rFonts w:ascii="Arial" w:hAnsi="Arial" w:cs="Arial"/>
        </w:rPr>
        <w:t xml:space="preserve">This policy is reviewed </w:t>
      </w:r>
      <w:r w:rsidRPr="0021325C">
        <w:rPr>
          <w:rFonts w:ascii="Arial" w:hAnsi="Arial" w:cs="Arial"/>
          <w:b/>
          <w:bCs/>
          <w:highlight w:val="cyan"/>
        </w:rPr>
        <w:t xml:space="preserve">[Insert cadence, e.g. annually], </w:t>
      </w:r>
      <w:r w:rsidRPr="0021325C">
        <w:rPr>
          <w:rFonts w:ascii="Arial" w:hAnsi="Arial" w:cs="Arial"/>
        </w:rPr>
        <w:t>following any significant AI incident, and following any material revision of the AI Governance Framework for ACCHOs.</w:t>
      </w:r>
    </w:p>
    <w:p w14:paraId="7FDAB7AA" w14:textId="77777777" w:rsidR="00753987" w:rsidRPr="00585C7F" w:rsidRDefault="00753987" w:rsidP="00753987">
      <w:pPr>
        <w:pStyle w:val="Heading2"/>
        <w:numPr>
          <w:ilvl w:val="0"/>
          <w:numId w:val="25"/>
        </w:numPr>
        <w:rPr>
          <w:color w:val="001441" w:themeColor="text1"/>
        </w:rPr>
      </w:pPr>
      <w:bookmarkStart w:id="445" w:name="_Toc238474931"/>
      <w:bookmarkStart w:id="446" w:name="_Toc238475845"/>
      <w:bookmarkStart w:id="447" w:name="_Toc238562163"/>
      <w:bookmarkStart w:id="448" w:name="_Toc238564241"/>
      <w:bookmarkStart w:id="449" w:name="_Toc239257346"/>
      <w:bookmarkStart w:id="450" w:name="_Toc239257449"/>
      <w:bookmarkStart w:id="451" w:name="_Toc239257550"/>
      <w:bookmarkStart w:id="452" w:name="_Toc240894387"/>
      <w:bookmarkStart w:id="453" w:name="_Toc240894603"/>
      <w:bookmarkStart w:id="454" w:name="_Toc240897445"/>
      <w:bookmarkStart w:id="455" w:name="_Toc240897598"/>
      <w:bookmarkStart w:id="456" w:name="_Toc240956416"/>
      <w:r w:rsidRPr="00585C7F">
        <w:rPr>
          <w:color w:val="001441" w:themeColor="text1"/>
        </w:rPr>
        <w:t>Related documents</w:t>
      </w:r>
      <w:bookmarkEnd w:id="445"/>
      <w:bookmarkEnd w:id="446"/>
      <w:bookmarkEnd w:id="447"/>
      <w:bookmarkEnd w:id="448"/>
      <w:bookmarkEnd w:id="449"/>
      <w:bookmarkEnd w:id="450"/>
      <w:bookmarkEnd w:id="451"/>
      <w:bookmarkEnd w:id="452"/>
      <w:bookmarkEnd w:id="453"/>
      <w:bookmarkEnd w:id="454"/>
      <w:bookmarkEnd w:id="455"/>
      <w:bookmarkEnd w:id="456"/>
    </w:p>
    <w:p w14:paraId="04C4ECDF" w14:textId="77777777" w:rsidR="00753987" w:rsidRPr="008132BA" w:rsidRDefault="00753987" w:rsidP="00753987">
      <w:pPr>
        <w:pStyle w:val="ListParagraph"/>
        <w:numPr>
          <w:ilvl w:val="0"/>
          <w:numId w:val="21"/>
        </w:numPr>
        <w:tabs>
          <w:tab w:val="clear" w:pos="284"/>
          <w:tab w:val="clear" w:pos="567"/>
          <w:tab w:val="clear" w:pos="851"/>
        </w:tabs>
        <w:spacing w:after="100" w:line="300" w:lineRule="auto"/>
        <w:contextualSpacing w:val="0"/>
        <w:rPr>
          <w:rFonts w:ascii="Arial" w:hAnsi="Arial" w:cs="Arial"/>
        </w:rPr>
      </w:pPr>
      <w:r>
        <w:rPr>
          <w:rFonts w:ascii="Arial" w:hAnsi="Arial" w:cs="Arial"/>
        </w:rPr>
        <w:t>AI Governance Framework for ACCHOs</w:t>
      </w:r>
    </w:p>
    <w:p w14:paraId="11BFE116" w14:textId="77777777" w:rsidR="00753987" w:rsidRPr="008132BA" w:rsidRDefault="00753987" w:rsidP="00753987">
      <w:pPr>
        <w:pStyle w:val="ListParagraph"/>
        <w:numPr>
          <w:ilvl w:val="0"/>
          <w:numId w:val="21"/>
        </w:numPr>
        <w:tabs>
          <w:tab w:val="clear" w:pos="284"/>
          <w:tab w:val="clear" w:pos="567"/>
          <w:tab w:val="clear" w:pos="851"/>
        </w:tabs>
        <w:spacing w:after="100" w:line="300" w:lineRule="auto"/>
        <w:contextualSpacing w:val="0"/>
        <w:rPr>
          <w:rFonts w:ascii="Arial" w:hAnsi="Arial" w:cs="Arial"/>
        </w:rPr>
      </w:pPr>
      <w:r>
        <w:rPr>
          <w:rFonts w:ascii="Arial" w:hAnsi="Arial" w:cs="Arial"/>
        </w:rPr>
        <w:t>AI Tool Safety Statements</w:t>
      </w:r>
    </w:p>
    <w:p w14:paraId="092AB3B4" w14:textId="77777777" w:rsidR="00753987" w:rsidRPr="008132BA" w:rsidRDefault="00753987" w:rsidP="00753987">
      <w:pPr>
        <w:pStyle w:val="ListParagraph"/>
        <w:numPr>
          <w:ilvl w:val="0"/>
          <w:numId w:val="21"/>
        </w:numPr>
        <w:tabs>
          <w:tab w:val="clear" w:pos="284"/>
          <w:tab w:val="clear" w:pos="567"/>
          <w:tab w:val="clear" w:pos="851"/>
        </w:tabs>
        <w:spacing w:after="100" w:line="300" w:lineRule="auto"/>
        <w:contextualSpacing w:val="0"/>
        <w:rPr>
          <w:rFonts w:ascii="Arial" w:hAnsi="Arial" w:cs="Arial"/>
        </w:rPr>
      </w:pPr>
      <w:r>
        <w:rPr>
          <w:rFonts w:ascii="Arial" w:hAnsi="Arial" w:cs="Arial"/>
        </w:rPr>
        <w:t>AI Tools Register</w:t>
      </w:r>
    </w:p>
    <w:p w14:paraId="463CC866" w14:textId="77777777" w:rsidR="00753987" w:rsidRDefault="00753987" w:rsidP="00753987">
      <w:pPr>
        <w:pStyle w:val="ListParagraph"/>
        <w:numPr>
          <w:ilvl w:val="0"/>
          <w:numId w:val="21"/>
        </w:numPr>
        <w:tabs>
          <w:tab w:val="clear" w:pos="284"/>
          <w:tab w:val="clear" w:pos="567"/>
          <w:tab w:val="clear" w:pos="851"/>
        </w:tabs>
        <w:spacing w:after="100" w:line="300" w:lineRule="auto"/>
        <w:contextualSpacing w:val="0"/>
        <w:rPr>
          <w:rFonts w:ascii="Arial" w:hAnsi="Arial" w:cs="Arial"/>
        </w:rPr>
      </w:pPr>
      <w:r>
        <w:rPr>
          <w:rFonts w:ascii="Arial" w:hAnsi="Arial" w:cs="Arial"/>
        </w:rPr>
        <w:t xml:space="preserve">Relevant Organisational policies including (but not limited to) </w:t>
      </w:r>
      <w:r w:rsidRPr="009A5F55">
        <w:rPr>
          <w:rFonts w:ascii="Arial" w:hAnsi="Arial" w:cs="Arial"/>
          <w:b/>
          <w:bCs/>
          <w:highlight w:val="cyan"/>
        </w:rPr>
        <w:t>[Insert document names and references]</w:t>
      </w:r>
    </w:p>
    <w:p w14:paraId="24E0B9E3" w14:textId="77777777" w:rsidR="00753987" w:rsidRDefault="00753987" w:rsidP="00753987">
      <w:pPr>
        <w:pStyle w:val="ListParagraph"/>
        <w:spacing w:after="100" w:line="300" w:lineRule="auto"/>
        <w:ind w:left="1440"/>
        <w:rPr>
          <w:rFonts w:ascii="Arial" w:hAnsi="Arial" w:cs="Arial"/>
        </w:rPr>
      </w:pPr>
      <w:r>
        <w:rPr>
          <w:rFonts w:ascii="Arial" w:hAnsi="Arial" w:cs="Arial"/>
        </w:rPr>
        <w:t xml:space="preserve">a) Privacy policy </w:t>
      </w:r>
    </w:p>
    <w:p w14:paraId="5C480238" w14:textId="77777777" w:rsidR="00753987" w:rsidRDefault="00753987" w:rsidP="00753987">
      <w:pPr>
        <w:pStyle w:val="ListParagraph"/>
        <w:spacing w:after="100" w:line="300" w:lineRule="auto"/>
        <w:ind w:left="1440"/>
        <w:rPr>
          <w:rFonts w:ascii="Arial" w:hAnsi="Arial" w:cs="Arial"/>
        </w:rPr>
      </w:pPr>
      <w:r>
        <w:rPr>
          <w:rFonts w:ascii="Arial" w:hAnsi="Arial" w:cs="Arial"/>
        </w:rPr>
        <w:t>b) AI R</w:t>
      </w:r>
      <w:r w:rsidRPr="00705DA1">
        <w:rPr>
          <w:rFonts w:ascii="Arial" w:hAnsi="Arial" w:cs="Arial"/>
        </w:rPr>
        <w:t xml:space="preserve">isk appetite statement and </w:t>
      </w:r>
      <w:r>
        <w:rPr>
          <w:rFonts w:ascii="Arial" w:hAnsi="Arial" w:cs="Arial"/>
        </w:rPr>
        <w:t xml:space="preserve">AI </w:t>
      </w:r>
      <w:r w:rsidRPr="00705DA1">
        <w:rPr>
          <w:rFonts w:ascii="Arial" w:hAnsi="Arial" w:cs="Arial"/>
        </w:rPr>
        <w:t xml:space="preserve">risk management policy, </w:t>
      </w:r>
    </w:p>
    <w:p w14:paraId="518A067E" w14:textId="77777777" w:rsidR="00753987" w:rsidRDefault="00753987" w:rsidP="00753987">
      <w:pPr>
        <w:pStyle w:val="ListParagraph"/>
        <w:spacing w:after="100" w:line="300" w:lineRule="auto"/>
        <w:ind w:left="1440"/>
        <w:rPr>
          <w:rFonts w:ascii="Arial" w:hAnsi="Arial" w:cs="Arial"/>
        </w:rPr>
      </w:pPr>
      <w:r>
        <w:rPr>
          <w:rFonts w:ascii="Arial" w:hAnsi="Arial" w:cs="Arial"/>
        </w:rPr>
        <w:t>c) D</w:t>
      </w:r>
      <w:r w:rsidRPr="00705DA1">
        <w:rPr>
          <w:rFonts w:ascii="Arial" w:hAnsi="Arial" w:cs="Arial"/>
        </w:rPr>
        <w:t xml:space="preserve">ata breach response plan, </w:t>
      </w:r>
    </w:p>
    <w:p w14:paraId="3727FC0C" w14:textId="77777777" w:rsidR="00753987" w:rsidRDefault="00753987" w:rsidP="00753987">
      <w:pPr>
        <w:pStyle w:val="ListParagraph"/>
        <w:spacing w:after="100" w:line="300" w:lineRule="auto"/>
        <w:ind w:left="1440"/>
        <w:rPr>
          <w:rFonts w:ascii="Arial" w:hAnsi="Arial" w:cs="Arial"/>
        </w:rPr>
      </w:pPr>
      <w:r>
        <w:rPr>
          <w:rFonts w:ascii="Arial" w:hAnsi="Arial" w:cs="Arial"/>
        </w:rPr>
        <w:t>d) I</w:t>
      </w:r>
      <w:r w:rsidRPr="00705DA1">
        <w:rPr>
          <w:rFonts w:ascii="Arial" w:hAnsi="Arial" w:cs="Arial"/>
        </w:rPr>
        <w:t xml:space="preserve">ncident management policy, </w:t>
      </w:r>
    </w:p>
    <w:p w14:paraId="13FD1DE5" w14:textId="77777777" w:rsidR="00753987" w:rsidRDefault="00753987" w:rsidP="00753987">
      <w:pPr>
        <w:pStyle w:val="ListParagraph"/>
        <w:spacing w:after="100" w:line="300" w:lineRule="auto"/>
        <w:ind w:left="1440"/>
        <w:rPr>
          <w:rFonts w:ascii="Arial" w:hAnsi="Arial" w:cs="Arial"/>
        </w:rPr>
      </w:pPr>
      <w:r>
        <w:rPr>
          <w:rFonts w:ascii="Arial" w:hAnsi="Arial" w:cs="Arial"/>
        </w:rPr>
        <w:t>e) C</w:t>
      </w:r>
      <w:r w:rsidRPr="00705DA1">
        <w:rPr>
          <w:rFonts w:ascii="Arial" w:hAnsi="Arial" w:cs="Arial"/>
        </w:rPr>
        <w:t xml:space="preserve">linical governance framework, </w:t>
      </w:r>
    </w:p>
    <w:p w14:paraId="7070A33E" w14:textId="77777777" w:rsidR="00753987" w:rsidRDefault="00753987" w:rsidP="00753987">
      <w:pPr>
        <w:pStyle w:val="ListParagraph"/>
        <w:spacing w:after="100" w:line="300" w:lineRule="auto"/>
        <w:ind w:left="1440"/>
        <w:rPr>
          <w:rFonts w:ascii="Arial" w:hAnsi="Arial" w:cs="Arial"/>
        </w:rPr>
      </w:pPr>
      <w:r>
        <w:rPr>
          <w:rFonts w:ascii="Arial" w:hAnsi="Arial" w:cs="Arial"/>
        </w:rPr>
        <w:t xml:space="preserve">f) </w:t>
      </w:r>
      <w:r w:rsidRPr="00705DA1">
        <w:rPr>
          <w:rFonts w:ascii="Arial" w:hAnsi="Arial" w:cs="Arial"/>
        </w:rPr>
        <w:t xml:space="preserve">Indigenous procurement policy, </w:t>
      </w:r>
    </w:p>
    <w:p w14:paraId="2C33858C" w14:textId="77777777" w:rsidR="00753987" w:rsidRDefault="00753987" w:rsidP="00753987">
      <w:pPr>
        <w:pStyle w:val="ListParagraph"/>
        <w:spacing w:after="100" w:line="300" w:lineRule="auto"/>
        <w:ind w:left="1440"/>
        <w:rPr>
          <w:rFonts w:ascii="Arial" w:hAnsi="Arial" w:cs="Arial"/>
        </w:rPr>
      </w:pPr>
      <w:r>
        <w:rPr>
          <w:rFonts w:ascii="Arial" w:hAnsi="Arial" w:cs="Arial"/>
        </w:rPr>
        <w:t xml:space="preserve">g) </w:t>
      </w:r>
      <w:r w:rsidRPr="00705DA1">
        <w:rPr>
          <w:rFonts w:ascii="Arial" w:hAnsi="Arial" w:cs="Arial"/>
        </w:rPr>
        <w:t xml:space="preserve">code of conduct </w:t>
      </w:r>
    </w:p>
    <w:p w14:paraId="4F9727CC" w14:textId="77777777" w:rsidR="00753987" w:rsidRPr="00705DA1" w:rsidRDefault="00753987" w:rsidP="00753987">
      <w:pPr>
        <w:pStyle w:val="ListParagraph"/>
        <w:spacing w:after="100" w:line="300" w:lineRule="auto"/>
        <w:ind w:left="1440"/>
        <w:rPr>
          <w:rFonts w:ascii="Arial" w:hAnsi="Arial" w:cs="Arial"/>
        </w:rPr>
      </w:pPr>
    </w:p>
    <w:p w14:paraId="74DE9213" w14:textId="77777777" w:rsidR="00753987" w:rsidRDefault="00753987" w:rsidP="00753987">
      <w:pPr>
        <w:pStyle w:val="ListParagraph"/>
        <w:numPr>
          <w:ilvl w:val="0"/>
          <w:numId w:val="21"/>
        </w:numPr>
        <w:tabs>
          <w:tab w:val="clear" w:pos="284"/>
          <w:tab w:val="clear" w:pos="567"/>
          <w:tab w:val="clear" w:pos="851"/>
        </w:tabs>
        <w:spacing w:after="100" w:line="300" w:lineRule="auto"/>
        <w:contextualSpacing w:val="0"/>
        <w:rPr>
          <w:rFonts w:ascii="Arial" w:hAnsi="Arial" w:cs="Arial"/>
        </w:rPr>
      </w:pPr>
      <w:hyperlink r:id="rId34" w:history="1">
        <w:r w:rsidRPr="001A5E95">
          <w:rPr>
            <w:rStyle w:val="Hyperlink"/>
            <w:rFonts w:ascii="Arial" w:hAnsi="Arial" w:cs="Arial"/>
          </w:rPr>
          <w:t>Pragmatic AI guidance for health professionals, ACSQHC</w:t>
        </w:r>
      </w:hyperlink>
    </w:p>
    <w:p w14:paraId="1996E25C" w14:textId="77777777" w:rsidR="00753987" w:rsidRDefault="00753987" w:rsidP="00753987">
      <w:pPr>
        <w:pStyle w:val="ListParagraph"/>
        <w:numPr>
          <w:ilvl w:val="0"/>
          <w:numId w:val="21"/>
        </w:numPr>
        <w:tabs>
          <w:tab w:val="clear" w:pos="284"/>
          <w:tab w:val="clear" w:pos="567"/>
          <w:tab w:val="clear" w:pos="851"/>
        </w:tabs>
        <w:spacing w:after="100" w:line="300" w:lineRule="auto"/>
        <w:contextualSpacing w:val="0"/>
        <w:rPr>
          <w:rFonts w:ascii="Arial" w:hAnsi="Arial" w:cs="Arial"/>
        </w:rPr>
      </w:pPr>
      <w:hyperlink r:id="rId35" w:history="1">
        <w:proofErr w:type="spellStart"/>
        <w:r w:rsidRPr="00A26F8B">
          <w:rPr>
            <w:rStyle w:val="Hyperlink"/>
            <w:rFonts w:ascii="Arial" w:hAnsi="Arial" w:cs="Arial"/>
          </w:rPr>
          <w:t>Ahpra</w:t>
        </w:r>
        <w:proofErr w:type="spellEnd"/>
        <w:r w:rsidRPr="00A26F8B">
          <w:rPr>
            <w:rStyle w:val="Hyperlink"/>
            <w:rFonts w:ascii="Arial" w:hAnsi="Arial" w:cs="Arial"/>
          </w:rPr>
          <w:t xml:space="preserve"> guidance on professional obligations when using AI;</w:t>
        </w:r>
      </w:hyperlink>
      <w:r>
        <w:rPr>
          <w:rFonts w:ascii="Arial" w:hAnsi="Arial" w:cs="Arial"/>
        </w:rPr>
        <w:t xml:space="preserve"> </w:t>
      </w:r>
    </w:p>
    <w:p w14:paraId="4C7695D9" w14:textId="77777777" w:rsidR="00753987" w:rsidRDefault="00753987" w:rsidP="00753987">
      <w:pPr>
        <w:pStyle w:val="ListParagraph"/>
        <w:numPr>
          <w:ilvl w:val="0"/>
          <w:numId w:val="21"/>
        </w:numPr>
        <w:tabs>
          <w:tab w:val="clear" w:pos="284"/>
          <w:tab w:val="clear" w:pos="567"/>
          <w:tab w:val="clear" w:pos="851"/>
        </w:tabs>
        <w:spacing w:after="100" w:line="300" w:lineRule="auto"/>
        <w:contextualSpacing w:val="0"/>
        <w:rPr>
          <w:rFonts w:ascii="Arial" w:hAnsi="Arial" w:cs="Arial"/>
        </w:rPr>
      </w:pPr>
      <w:hyperlink r:id="rId36" w:history="1">
        <w:r w:rsidRPr="00F15162">
          <w:rPr>
            <w:rStyle w:val="Hyperlink"/>
            <w:rFonts w:ascii="Arial" w:hAnsi="Arial" w:cs="Arial"/>
          </w:rPr>
          <w:t>TGA Software as a Medical Device guidance</w:t>
        </w:r>
      </w:hyperlink>
    </w:p>
    <w:p w14:paraId="7C5F8909" w14:textId="77777777" w:rsidR="00753987" w:rsidRDefault="00753987" w:rsidP="00753987">
      <w:pPr>
        <w:pStyle w:val="ListParagraph"/>
        <w:numPr>
          <w:ilvl w:val="0"/>
          <w:numId w:val="21"/>
        </w:numPr>
        <w:tabs>
          <w:tab w:val="clear" w:pos="284"/>
          <w:tab w:val="clear" w:pos="567"/>
          <w:tab w:val="clear" w:pos="851"/>
        </w:tabs>
        <w:spacing w:after="100" w:line="300" w:lineRule="auto"/>
        <w:contextualSpacing w:val="0"/>
        <w:rPr>
          <w:rFonts w:ascii="Arial" w:hAnsi="Arial" w:cs="Arial"/>
        </w:rPr>
      </w:pPr>
      <w:hyperlink r:id="rId37" w:history="1">
        <w:r w:rsidRPr="001A5E95">
          <w:rPr>
            <w:rStyle w:val="Hyperlink"/>
            <w:rFonts w:ascii="Arial" w:hAnsi="Arial" w:cs="Arial"/>
          </w:rPr>
          <w:t>Essential Eight Maturity Model, ASD</w:t>
        </w:r>
      </w:hyperlink>
    </w:p>
    <w:p w14:paraId="78190AFD" w14:textId="77777777" w:rsidR="00753987" w:rsidRPr="008132BA" w:rsidRDefault="00753987" w:rsidP="00753987">
      <w:pPr>
        <w:pStyle w:val="ListParagraph"/>
        <w:numPr>
          <w:ilvl w:val="0"/>
          <w:numId w:val="21"/>
        </w:numPr>
        <w:tabs>
          <w:tab w:val="clear" w:pos="284"/>
          <w:tab w:val="clear" w:pos="567"/>
          <w:tab w:val="clear" w:pos="851"/>
        </w:tabs>
        <w:spacing w:after="100" w:line="300" w:lineRule="auto"/>
        <w:contextualSpacing w:val="0"/>
        <w:rPr>
          <w:rFonts w:ascii="Arial" w:hAnsi="Arial" w:cs="Arial"/>
        </w:rPr>
      </w:pPr>
      <w:hyperlink r:id="rId38" w:history="1">
        <w:proofErr w:type="spellStart"/>
        <w:r w:rsidRPr="002E79E5">
          <w:rPr>
            <w:rStyle w:val="Hyperlink"/>
            <w:rFonts w:ascii="Arial" w:hAnsi="Arial" w:cs="Arial"/>
          </w:rPr>
          <w:t>Maiam</w:t>
        </w:r>
        <w:proofErr w:type="spellEnd"/>
        <w:r w:rsidRPr="002E79E5">
          <w:rPr>
            <w:rStyle w:val="Hyperlink"/>
            <w:rFonts w:ascii="Arial" w:hAnsi="Arial" w:cs="Arial"/>
          </w:rPr>
          <w:t xml:space="preserve"> </w:t>
        </w:r>
        <w:proofErr w:type="spellStart"/>
        <w:r w:rsidRPr="002E79E5">
          <w:rPr>
            <w:rStyle w:val="Hyperlink"/>
            <w:rFonts w:ascii="Arial" w:hAnsi="Arial" w:cs="Arial"/>
          </w:rPr>
          <w:t>nayri</w:t>
        </w:r>
        <w:proofErr w:type="spellEnd"/>
        <w:r w:rsidRPr="002E79E5">
          <w:rPr>
            <w:rStyle w:val="Hyperlink"/>
            <w:rFonts w:ascii="Arial" w:hAnsi="Arial" w:cs="Arial"/>
          </w:rPr>
          <w:t xml:space="preserve"> </w:t>
        </w:r>
        <w:proofErr w:type="spellStart"/>
        <w:r w:rsidRPr="002E79E5">
          <w:rPr>
            <w:rStyle w:val="Hyperlink"/>
            <w:rFonts w:ascii="Arial" w:hAnsi="Arial" w:cs="Arial"/>
          </w:rPr>
          <w:t>Wingara</w:t>
        </w:r>
        <w:proofErr w:type="spellEnd"/>
        <w:r w:rsidRPr="002E79E5">
          <w:rPr>
            <w:rStyle w:val="Hyperlink"/>
            <w:rFonts w:ascii="Arial" w:hAnsi="Arial" w:cs="Arial"/>
          </w:rPr>
          <w:t xml:space="preserve"> Indigenous Data Sovereignty principles</w:t>
        </w:r>
      </w:hyperlink>
    </w:p>
    <w:p w14:paraId="73C77B53" w14:textId="77777777" w:rsidR="00753987" w:rsidRDefault="00753987" w:rsidP="00753987">
      <w:r>
        <w:br w:type="page"/>
      </w:r>
    </w:p>
    <w:p w14:paraId="46D32340" w14:textId="77777777" w:rsidR="00753987" w:rsidRPr="00585C7F" w:rsidRDefault="00753987" w:rsidP="00753987">
      <w:pPr>
        <w:pStyle w:val="Heading1"/>
      </w:pPr>
      <w:bookmarkStart w:id="457" w:name="_Toc238475846"/>
      <w:bookmarkStart w:id="458" w:name="_Toc238562164"/>
      <w:bookmarkStart w:id="459" w:name="_Toc239257347"/>
      <w:bookmarkStart w:id="460" w:name="_Toc239257450"/>
      <w:bookmarkStart w:id="461" w:name="_Toc239257551"/>
      <w:bookmarkStart w:id="462" w:name="_Toc240897599"/>
      <w:bookmarkStart w:id="463" w:name="_Toc240956417"/>
      <w:bookmarkStart w:id="464" w:name="_Toc240956441"/>
      <w:bookmarkStart w:id="465" w:name="_Toc240960039"/>
      <w:r w:rsidRPr="00585C7F">
        <w:lastRenderedPageBreak/>
        <w:t>Appendix A: Pre-use checklist</w:t>
      </w:r>
      <w:bookmarkEnd w:id="457"/>
      <w:bookmarkEnd w:id="458"/>
      <w:bookmarkEnd w:id="459"/>
      <w:bookmarkEnd w:id="460"/>
      <w:bookmarkEnd w:id="461"/>
      <w:bookmarkEnd w:id="462"/>
      <w:bookmarkEnd w:id="463"/>
      <w:bookmarkEnd w:id="464"/>
      <w:bookmarkEnd w:id="465"/>
    </w:p>
    <w:p w14:paraId="2CFC3115" w14:textId="77777777" w:rsidR="00753987" w:rsidRDefault="00753987" w:rsidP="00753987">
      <w:pPr>
        <w:spacing w:line="300" w:lineRule="auto"/>
        <w:rPr>
          <w:rFonts w:ascii="Arial" w:hAnsi="Arial" w:cs="Arial"/>
        </w:rPr>
      </w:pPr>
      <w:r>
        <w:rPr>
          <w:rFonts w:ascii="Arial" w:hAnsi="Arial" w:cs="Arial"/>
        </w:rPr>
        <w:t>Use this checklist every time you are about to use an AI tool with patient, community or Organisation information. If you cannot tick all boxes in section 1, stop and check with the responsible person before proceeding.</w:t>
      </w:r>
    </w:p>
    <w:p w14:paraId="61F3BC82" w14:textId="77777777" w:rsidR="00753987" w:rsidRPr="00585C7F" w:rsidRDefault="00753987" w:rsidP="00753987">
      <w:pPr>
        <w:spacing w:before="200" w:after="80"/>
        <w:rPr>
          <w:rFonts w:ascii="Arial" w:hAnsi="Arial" w:cs="Arial"/>
          <w:color w:val="333C72" w:themeColor="accent5" w:themeShade="80"/>
        </w:rPr>
      </w:pPr>
      <w:r w:rsidRPr="00585C7F">
        <w:rPr>
          <w:rFonts w:ascii="Arial" w:hAnsi="Arial" w:cs="Arial"/>
          <w:b/>
          <w:bCs/>
          <w:color w:val="333C72" w:themeColor="accent5" w:themeShade="80"/>
          <w:sz w:val="24"/>
        </w:rPr>
        <w:t>1. Before you use any AI tool</w:t>
      </w:r>
    </w:p>
    <w:p w14:paraId="5E93A4CF" w14:textId="77777777" w:rsidR="00753987" w:rsidRDefault="00753987" w:rsidP="00753987">
      <w:pPr>
        <w:spacing w:after="80" w:line="280" w:lineRule="auto"/>
        <w:ind w:left="540" w:hanging="360"/>
        <w:rPr>
          <w:rFonts w:ascii="Arial" w:hAnsi="Arial" w:cs="Arial"/>
        </w:rPr>
      </w:pPr>
      <w:r>
        <w:rPr>
          <w:rFonts w:ascii="Arial" w:hAnsi="Arial" w:cs="Arial"/>
        </w:rPr>
        <w:t>☐</w:t>
      </w:r>
      <w:r>
        <w:rPr>
          <w:rFonts w:ascii="Arial" w:hAnsi="Arial" w:cs="Arial"/>
        </w:rPr>
        <w:tab/>
        <w:t>The tool is on the AI Tools Register (you have checked today, or you know it because you use it regularly).</w:t>
      </w:r>
    </w:p>
    <w:p w14:paraId="61269461" w14:textId="77777777" w:rsidR="00753987" w:rsidRDefault="00753987" w:rsidP="00753987">
      <w:pPr>
        <w:spacing w:after="80" w:line="280" w:lineRule="auto"/>
        <w:ind w:left="540" w:hanging="360"/>
        <w:rPr>
          <w:rFonts w:ascii="Arial" w:hAnsi="Arial" w:cs="Arial"/>
        </w:rPr>
      </w:pPr>
      <w:r>
        <w:rPr>
          <w:rFonts w:ascii="Arial" w:hAnsi="Arial" w:cs="Arial"/>
        </w:rPr>
        <w:t>☐</w:t>
      </w:r>
      <w:r>
        <w:rPr>
          <w:rFonts w:ascii="Arial" w:hAnsi="Arial" w:cs="Arial"/>
        </w:rPr>
        <w:tab/>
        <w:t>You have been trained on this tool, or your work fits within the training you have completed.</w:t>
      </w:r>
    </w:p>
    <w:p w14:paraId="20173EC2" w14:textId="77777777" w:rsidR="00753987" w:rsidRDefault="00753987" w:rsidP="00753987">
      <w:pPr>
        <w:spacing w:after="80" w:line="280" w:lineRule="auto"/>
        <w:ind w:left="540" w:hanging="360"/>
        <w:rPr>
          <w:rFonts w:ascii="Arial" w:hAnsi="Arial" w:cs="Arial"/>
        </w:rPr>
      </w:pPr>
      <w:r>
        <w:rPr>
          <w:rFonts w:ascii="Arial" w:hAnsi="Arial" w:cs="Arial"/>
        </w:rPr>
        <w:t>☐</w:t>
      </w:r>
      <w:r>
        <w:rPr>
          <w:rFonts w:ascii="Arial" w:hAnsi="Arial" w:cs="Arial"/>
        </w:rPr>
        <w:tab/>
        <w:t>You know what data this tool collects, where it goes, and what the vendor does with it.</w:t>
      </w:r>
    </w:p>
    <w:p w14:paraId="36CF5312" w14:textId="77777777" w:rsidR="00753987" w:rsidRDefault="00753987" w:rsidP="00753987">
      <w:pPr>
        <w:spacing w:after="80" w:line="280" w:lineRule="auto"/>
        <w:ind w:left="540" w:hanging="360"/>
        <w:rPr>
          <w:rFonts w:ascii="Arial" w:hAnsi="Arial" w:cs="Arial"/>
        </w:rPr>
      </w:pPr>
      <w:r>
        <w:rPr>
          <w:rFonts w:ascii="Arial" w:hAnsi="Arial" w:cs="Arial"/>
        </w:rPr>
        <w:t>☐</w:t>
      </w:r>
      <w:r>
        <w:rPr>
          <w:rFonts w:ascii="Arial" w:hAnsi="Arial" w:cs="Arial"/>
        </w:rPr>
        <w:tab/>
        <w:t>You know what the tool gets wrong (its documented limitations, especially for Aboriginal and Torres Strait Islander patients).</w:t>
      </w:r>
    </w:p>
    <w:p w14:paraId="4AB2B507" w14:textId="77777777" w:rsidR="00753987" w:rsidRDefault="00753987" w:rsidP="00753987">
      <w:pPr>
        <w:spacing w:after="80" w:line="280" w:lineRule="auto"/>
        <w:ind w:left="540" w:hanging="360"/>
        <w:rPr>
          <w:rFonts w:ascii="Arial" w:hAnsi="Arial" w:cs="Arial"/>
        </w:rPr>
      </w:pPr>
      <w:r>
        <w:rPr>
          <w:rFonts w:ascii="Arial" w:hAnsi="Arial" w:cs="Arial"/>
        </w:rPr>
        <w:t>☐</w:t>
      </w:r>
      <w:r>
        <w:rPr>
          <w:rFonts w:ascii="Arial" w:hAnsi="Arial" w:cs="Arial"/>
        </w:rPr>
        <w:tab/>
        <w:t>You know the fallback when the tool is unavailable or behaves unexpectedly.</w:t>
      </w:r>
    </w:p>
    <w:p w14:paraId="44D79F11" w14:textId="77777777" w:rsidR="00753987" w:rsidRPr="00585C7F" w:rsidRDefault="00753987" w:rsidP="00753987">
      <w:pPr>
        <w:spacing w:before="200" w:after="80"/>
        <w:rPr>
          <w:rFonts w:ascii="Arial" w:hAnsi="Arial" w:cs="Arial"/>
          <w:color w:val="333C72" w:themeColor="accent5" w:themeShade="80"/>
        </w:rPr>
      </w:pPr>
      <w:r w:rsidRPr="00585C7F">
        <w:rPr>
          <w:rFonts w:ascii="Arial" w:hAnsi="Arial" w:cs="Arial"/>
          <w:b/>
          <w:bCs/>
          <w:color w:val="333C72" w:themeColor="accent5" w:themeShade="80"/>
          <w:sz w:val="24"/>
        </w:rPr>
        <w:t>2. Before you use the tool in a patient's care</w:t>
      </w:r>
    </w:p>
    <w:p w14:paraId="1EFE1AA2" w14:textId="77777777" w:rsidR="00753987" w:rsidRDefault="00753987" w:rsidP="00753987">
      <w:pPr>
        <w:spacing w:after="80" w:line="280" w:lineRule="auto"/>
        <w:ind w:left="540" w:hanging="360"/>
        <w:rPr>
          <w:rFonts w:ascii="Arial" w:hAnsi="Arial" w:cs="Arial"/>
        </w:rPr>
      </w:pPr>
      <w:r>
        <w:rPr>
          <w:rFonts w:ascii="Arial" w:hAnsi="Arial" w:cs="Arial"/>
        </w:rPr>
        <w:t>☐</w:t>
      </w:r>
      <w:r>
        <w:rPr>
          <w:rFonts w:ascii="Arial" w:hAnsi="Arial" w:cs="Arial"/>
        </w:rPr>
        <w:tab/>
        <w:t>You have checked the patient's notes for any recorded preference about AI use.</w:t>
      </w:r>
    </w:p>
    <w:p w14:paraId="155068F5" w14:textId="77777777" w:rsidR="00753987" w:rsidRDefault="00753987" w:rsidP="00753987">
      <w:pPr>
        <w:spacing w:after="80" w:line="280" w:lineRule="auto"/>
        <w:ind w:left="540" w:hanging="360"/>
        <w:rPr>
          <w:rFonts w:ascii="Arial" w:hAnsi="Arial" w:cs="Arial"/>
        </w:rPr>
      </w:pPr>
      <w:r>
        <w:rPr>
          <w:rFonts w:ascii="Arial" w:hAnsi="Arial" w:cs="Arial"/>
        </w:rPr>
        <w:t>☐</w:t>
      </w:r>
      <w:r>
        <w:rPr>
          <w:rFonts w:ascii="Arial" w:hAnsi="Arial" w:cs="Arial"/>
        </w:rPr>
        <w:tab/>
        <w:t>The patient has been informed and has agreed (or, where appropriate, the Organisation-approved community statement has been made available before the encounter).</w:t>
      </w:r>
    </w:p>
    <w:p w14:paraId="48D74A02" w14:textId="77777777" w:rsidR="00753987" w:rsidRDefault="00753987" w:rsidP="00753987">
      <w:pPr>
        <w:spacing w:after="80" w:line="280" w:lineRule="auto"/>
        <w:ind w:left="540" w:hanging="360"/>
        <w:rPr>
          <w:rFonts w:ascii="Arial" w:hAnsi="Arial" w:cs="Arial"/>
        </w:rPr>
      </w:pPr>
      <w:r>
        <w:rPr>
          <w:rFonts w:ascii="Arial" w:hAnsi="Arial" w:cs="Arial"/>
        </w:rPr>
        <w:t>☐</w:t>
      </w:r>
      <w:r>
        <w:rPr>
          <w:rFonts w:ascii="Arial" w:hAnsi="Arial" w:cs="Arial"/>
        </w:rPr>
        <w:tab/>
        <w:t>The patient's consent or refusal has been recorded in the patient's notes.</w:t>
      </w:r>
    </w:p>
    <w:p w14:paraId="063F01C0" w14:textId="77777777" w:rsidR="00753987" w:rsidRDefault="00753987" w:rsidP="00753987">
      <w:pPr>
        <w:spacing w:after="80" w:line="280" w:lineRule="auto"/>
        <w:ind w:left="540" w:hanging="360"/>
        <w:rPr>
          <w:rFonts w:ascii="Arial" w:hAnsi="Arial" w:cs="Arial"/>
        </w:rPr>
      </w:pPr>
      <w:r>
        <w:rPr>
          <w:rFonts w:ascii="Arial" w:hAnsi="Arial" w:cs="Arial"/>
        </w:rPr>
        <w:t>☐</w:t>
      </w:r>
      <w:r>
        <w:rPr>
          <w:rFonts w:ascii="Arial" w:hAnsi="Arial" w:cs="Arial"/>
        </w:rPr>
        <w:tab/>
        <w:t>If the patient declined, you have a path to provide their care without disadvantage.</w:t>
      </w:r>
    </w:p>
    <w:p w14:paraId="3A32E01E" w14:textId="77777777" w:rsidR="00753987" w:rsidRPr="00585C7F" w:rsidRDefault="00753987" w:rsidP="00753987">
      <w:pPr>
        <w:spacing w:before="200" w:after="80"/>
        <w:rPr>
          <w:rFonts w:ascii="Arial" w:hAnsi="Arial" w:cs="Arial"/>
          <w:color w:val="333C72" w:themeColor="accent5" w:themeShade="80"/>
        </w:rPr>
      </w:pPr>
      <w:r w:rsidRPr="00585C7F">
        <w:rPr>
          <w:rFonts w:ascii="Arial" w:hAnsi="Arial" w:cs="Arial"/>
          <w:b/>
          <w:bCs/>
          <w:color w:val="333C72" w:themeColor="accent5" w:themeShade="80"/>
          <w:sz w:val="24"/>
        </w:rPr>
        <w:t>3. After you use the tool</w:t>
      </w:r>
    </w:p>
    <w:p w14:paraId="4CCCAFAC" w14:textId="77777777" w:rsidR="00753987" w:rsidRDefault="00753987" w:rsidP="00753987">
      <w:pPr>
        <w:spacing w:after="80" w:line="280" w:lineRule="auto"/>
        <w:ind w:left="540" w:hanging="360"/>
        <w:rPr>
          <w:rFonts w:ascii="Arial" w:hAnsi="Arial" w:cs="Arial"/>
        </w:rPr>
      </w:pPr>
      <w:r>
        <w:rPr>
          <w:rFonts w:ascii="Arial" w:hAnsi="Arial" w:cs="Arial"/>
        </w:rPr>
        <w:t>☐</w:t>
      </w:r>
      <w:r>
        <w:rPr>
          <w:rFonts w:ascii="Arial" w:hAnsi="Arial" w:cs="Arial"/>
        </w:rPr>
        <w:tab/>
        <w:t>You have reviewed every output before it is saved, communicated or relied upon.</w:t>
      </w:r>
    </w:p>
    <w:p w14:paraId="637C2BFB" w14:textId="77777777" w:rsidR="00753987" w:rsidRDefault="00753987" w:rsidP="00753987">
      <w:pPr>
        <w:spacing w:after="80" w:line="280" w:lineRule="auto"/>
        <w:ind w:left="540" w:hanging="360"/>
        <w:rPr>
          <w:rFonts w:ascii="Arial" w:hAnsi="Arial" w:cs="Arial"/>
        </w:rPr>
      </w:pPr>
      <w:r>
        <w:rPr>
          <w:rFonts w:ascii="Arial" w:hAnsi="Arial" w:cs="Arial"/>
        </w:rPr>
        <w:t>☐</w:t>
      </w:r>
      <w:r>
        <w:rPr>
          <w:rFonts w:ascii="Arial" w:hAnsi="Arial" w:cs="Arial"/>
        </w:rPr>
        <w:tab/>
        <w:t>You have recorded the AI use (where required)</w:t>
      </w:r>
    </w:p>
    <w:p w14:paraId="2DB01580" w14:textId="77777777" w:rsidR="00753987" w:rsidRDefault="00753987" w:rsidP="00753987">
      <w:pPr>
        <w:spacing w:after="80" w:line="280" w:lineRule="auto"/>
        <w:ind w:left="540" w:hanging="360"/>
        <w:rPr>
          <w:rFonts w:ascii="Arial" w:hAnsi="Arial" w:cs="Arial"/>
        </w:rPr>
      </w:pPr>
      <w:r>
        <w:rPr>
          <w:rFonts w:ascii="Arial" w:hAnsi="Arial" w:cs="Arial"/>
        </w:rPr>
        <w:t>☐</w:t>
      </w:r>
      <w:r>
        <w:rPr>
          <w:rFonts w:ascii="Arial" w:hAnsi="Arial" w:cs="Arial"/>
        </w:rPr>
        <w:tab/>
        <w:t>Where the output materially shaped a document, you have disclosed AI use to the person responsible for that work</w:t>
      </w:r>
    </w:p>
    <w:p w14:paraId="573596C1" w14:textId="77777777" w:rsidR="00753987" w:rsidRDefault="00753987" w:rsidP="00753987">
      <w:pPr>
        <w:spacing w:after="80" w:line="280" w:lineRule="auto"/>
        <w:ind w:left="540" w:hanging="360"/>
        <w:rPr>
          <w:rFonts w:ascii="Arial" w:hAnsi="Arial" w:cs="Arial"/>
        </w:rPr>
      </w:pPr>
      <w:r>
        <w:rPr>
          <w:rFonts w:ascii="Arial" w:hAnsi="Arial" w:cs="Arial"/>
        </w:rPr>
        <w:t>☐</w:t>
      </w:r>
      <w:r>
        <w:rPr>
          <w:rFonts w:ascii="Arial" w:hAnsi="Arial" w:cs="Arial"/>
        </w:rPr>
        <w:tab/>
        <w:t>If anything went wrong or felt wrong, you have reported it through the Organisation's incident management system</w:t>
      </w:r>
    </w:p>
    <w:p w14:paraId="3DE5605A" w14:textId="77777777" w:rsidR="00753987" w:rsidRPr="00585C7F" w:rsidRDefault="00753987" w:rsidP="00753987">
      <w:pPr>
        <w:spacing w:before="200" w:after="80"/>
        <w:rPr>
          <w:rFonts w:ascii="Arial" w:hAnsi="Arial" w:cs="Arial"/>
          <w:color w:val="333C72" w:themeColor="accent5" w:themeShade="80"/>
        </w:rPr>
      </w:pPr>
      <w:r w:rsidRPr="00585C7F">
        <w:rPr>
          <w:rFonts w:ascii="Arial" w:hAnsi="Arial" w:cs="Arial"/>
          <w:b/>
          <w:bCs/>
          <w:color w:val="333C72" w:themeColor="accent5" w:themeShade="80"/>
          <w:sz w:val="24"/>
        </w:rPr>
        <w:t>4. Red flags. Stop and ask</w:t>
      </w:r>
    </w:p>
    <w:p w14:paraId="23AE284D" w14:textId="77777777" w:rsidR="00753987" w:rsidRDefault="00753987" w:rsidP="00753987">
      <w:pPr>
        <w:spacing w:after="80" w:line="280" w:lineRule="auto"/>
        <w:ind w:left="540" w:hanging="360"/>
        <w:rPr>
          <w:rFonts w:ascii="Arial" w:hAnsi="Arial" w:cs="Arial"/>
        </w:rPr>
      </w:pPr>
      <w:r>
        <w:rPr>
          <w:rFonts w:ascii="Arial" w:hAnsi="Arial" w:cs="Arial"/>
          <w:b/>
          <w:bCs/>
          <w:color w:val="C0392B"/>
        </w:rPr>
        <w:t>✖</w:t>
      </w:r>
      <w:r>
        <w:rPr>
          <w:rFonts w:ascii="Arial" w:hAnsi="Arial" w:cs="Arial"/>
        </w:rPr>
        <w:tab/>
        <w:t>You are about to type, paste, photograph or upload patient information into an AI tool that is not on the AI Tools Register, including tools like ChatGPT, Claude, Gemini, Copilot in a personal account, or any browser-based LLM.</w:t>
      </w:r>
    </w:p>
    <w:p w14:paraId="6B4CD003" w14:textId="77777777" w:rsidR="00753987" w:rsidRDefault="00753987" w:rsidP="00753987">
      <w:pPr>
        <w:spacing w:after="80" w:line="280" w:lineRule="auto"/>
        <w:ind w:left="540" w:hanging="360"/>
        <w:rPr>
          <w:rFonts w:ascii="Arial" w:hAnsi="Arial" w:cs="Arial"/>
        </w:rPr>
      </w:pPr>
      <w:r>
        <w:rPr>
          <w:rFonts w:ascii="Arial" w:hAnsi="Arial" w:cs="Arial"/>
          <w:b/>
          <w:bCs/>
          <w:color w:val="C0392B"/>
        </w:rPr>
        <w:t>✖</w:t>
      </w:r>
      <w:r>
        <w:rPr>
          <w:rFonts w:ascii="Arial" w:hAnsi="Arial" w:cs="Arial"/>
        </w:rPr>
        <w:tab/>
        <w:t>You are about to use an ambient scribe or AI assistant on your personal device or personal account in a clinical setting.</w:t>
      </w:r>
    </w:p>
    <w:p w14:paraId="7CD4EC36" w14:textId="77777777" w:rsidR="00753987" w:rsidRDefault="00753987" w:rsidP="00753987">
      <w:pPr>
        <w:spacing w:after="80" w:line="280" w:lineRule="auto"/>
        <w:ind w:left="540" w:hanging="360"/>
        <w:rPr>
          <w:rFonts w:ascii="Arial" w:hAnsi="Arial" w:cs="Arial"/>
        </w:rPr>
      </w:pPr>
      <w:r>
        <w:rPr>
          <w:rFonts w:ascii="Arial" w:hAnsi="Arial" w:cs="Arial"/>
          <w:b/>
          <w:bCs/>
          <w:color w:val="C0392B"/>
        </w:rPr>
        <w:t>✖</w:t>
      </w:r>
      <w:r>
        <w:rPr>
          <w:rFonts w:ascii="Arial" w:hAnsi="Arial" w:cs="Arial"/>
        </w:rPr>
        <w:tab/>
        <w:t>You are about to paste AI-generated text into a patient record without checking it against the original encounter.</w:t>
      </w:r>
    </w:p>
    <w:p w14:paraId="0F76CDD4" w14:textId="77777777" w:rsidR="00753987" w:rsidRDefault="00753987" w:rsidP="00753987">
      <w:pPr>
        <w:spacing w:after="80" w:line="280" w:lineRule="auto"/>
        <w:ind w:left="540" w:hanging="360"/>
        <w:rPr>
          <w:rFonts w:ascii="Arial" w:hAnsi="Arial" w:cs="Arial"/>
        </w:rPr>
      </w:pPr>
      <w:r>
        <w:rPr>
          <w:rFonts w:ascii="Arial" w:hAnsi="Arial" w:cs="Arial"/>
          <w:b/>
          <w:bCs/>
          <w:color w:val="C0392B"/>
        </w:rPr>
        <w:t>✖</w:t>
      </w:r>
      <w:r>
        <w:rPr>
          <w:rFonts w:ascii="Arial" w:hAnsi="Arial" w:cs="Arial"/>
        </w:rPr>
        <w:tab/>
        <w:t>You are about to send AI-generated content outside the Organisation without the approval required by clause 10.1.</w:t>
      </w:r>
    </w:p>
    <w:p w14:paraId="10A4F67C" w14:textId="77777777" w:rsidR="00432A91" w:rsidRDefault="00753987" w:rsidP="00432A91">
      <w:pPr>
        <w:spacing w:after="80" w:line="280" w:lineRule="auto"/>
        <w:ind w:left="540" w:hanging="360"/>
        <w:rPr>
          <w:rFonts w:ascii="Arial" w:hAnsi="Arial" w:cs="Arial"/>
        </w:rPr>
      </w:pPr>
      <w:r>
        <w:rPr>
          <w:rFonts w:ascii="Arial" w:hAnsi="Arial" w:cs="Arial"/>
          <w:b/>
          <w:bCs/>
          <w:color w:val="C0392B"/>
        </w:rPr>
        <w:t>✖</w:t>
      </w:r>
      <w:r>
        <w:rPr>
          <w:rFonts w:ascii="Arial" w:hAnsi="Arial" w:cs="Arial"/>
        </w:rPr>
        <w:tab/>
        <w:t>You have been told to stop using a tool, or it has been suspended, and you are about to use it anyway.</w:t>
      </w:r>
    </w:p>
    <w:p w14:paraId="3C6A57DB" w14:textId="256E399D" w:rsidR="00790FB0" w:rsidRDefault="00753987" w:rsidP="00432A91">
      <w:pPr>
        <w:spacing w:after="80" w:line="280" w:lineRule="auto"/>
        <w:ind w:left="540" w:hanging="360"/>
        <w:rPr>
          <w:rFonts w:ascii="Arial" w:hAnsi="Arial" w:cs="Arial"/>
        </w:rPr>
      </w:pPr>
      <w:r>
        <w:rPr>
          <w:rFonts w:ascii="Arial" w:hAnsi="Arial" w:cs="Arial"/>
          <w:b/>
          <w:bCs/>
          <w:color w:val="C0392B"/>
        </w:rPr>
        <w:t>✖</w:t>
      </w:r>
      <w:r>
        <w:rPr>
          <w:rFonts w:ascii="Arial" w:hAnsi="Arial" w:cs="Arial"/>
        </w:rPr>
        <w:tab/>
        <w:t>A patient has declined and you are unsure whether to continue without the tool.</w:t>
      </w:r>
    </w:p>
    <w:p w14:paraId="5179C791" w14:textId="77777777" w:rsidR="00CF2DC5" w:rsidRPr="00432A91" w:rsidRDefault="00CF2DC5" w:rsidP="0022203F">
      <w:pPr>
        <w:spacing w:after="80" w:line="280" w:lineRule="auto"/>
        <w:ind w:left="540" w:hanging="360"/>
        <w:rPr>
          <w:rFonts w:ascii="Arial" w:hAnsi="Arial" w:cs="Arial"/>
        </w:rPr>
      </w:pPr>
    </w:p>
    <w:sectPr w:rsidR="00CF2DC5" w:rsidRPr="00432A91" w:rsidSect="00C648B0">
      <w:headerReference w:type="even" r:id="rId39"/>
      <w:headerReference w:type="default" r:id="rId40"/>
      <w:footerReference w:type="even" r:id="rId41"/>
      <w:footerReference w:type="default" r:id="rId42"/>
      <w:headerReference w:type="first" r:id="rId43"/>
      <w:footerReference w:type="first" r:id="rId44"/>
      <w:pgSz w:w="11900" w:h="16840"/>
      <w:pgMar w:top="1021" w:right="1134" w:bottom="1418" w:left="1134" w:header="567"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E45FF" w14:textId="77777777" w:rsidR="00035FF1" w:rsidRDefault="00035FF1" w:rsidP="00596F07">
      <w:r>
        <w:separator/>
      </w:r>
    </w:p>
  </w:endnote>
  <w:endnote w:type="continuationSeparator" w:id="0">
    <w:p w14:paraId="4B03D7A8" w14:textId="77777777" w:rsidR="00035FF1" w:rsidRDefault="00035FF1" w:rsidP="00596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dy)">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 w:name="Times New Roman (Body CS)">
    <w:altName w:val="Times New Roman"/>
    <w:charset w:val="00"/>
    <w:family w:val="roman"/>
    <w:pitch w:val="variable"/>
    <w:sig w:usb0="E0002AEF" w:usb1="C0007841" w:usb2="00000009" w:usb3="00000000" w:csb0="000001FF" w:csb1="00000000"/>
  </w:font>
  <w:font w:name="Times New Roman (Headings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61775420"/>
      <w:docPartObj>
        <w:docPartGallery w:val="Page Numbers (Bottom of Page)"/>
        <w:docPartUnique/>
      </w:docPartObj>
    </w:sdtPr>
    <w:sdtContent>
      <w:p w14:paraId="3835D401" w14:textId="77777777" w:rsidR="009135B9" w:rsidRDefault="009135B9" w:rsidP="00F21A3F">
        <w:pPr>
          <w:pStyle w:val="Footer"/>
          <w:framePr w:w="521" w:h="321" w:hRule="exact" w:wrap="none" w:vAnchor="text" w:hAnchor="page" w:x="10447" w:y="9"/>
          <w:jc w:val="center"/>
          <w:rPr>
            <w:rStyle w:val="PageNumber"/>
          </w:rPr>
        </w:pPr>
        <w:r w:rsidRPr="006D2DEE">
          <w:rPr>
            <w:rStyle w:val="PageNumber"/>
            <w:color w:val="FFFFFF" w:themeColor="background1"/>
          </w:rPr>
          <w:fldChar w:fldCharType="begin"/>
        </w:r>
        <w:r w:rsidRPr="006D2DEE">
          <w:rPr>
            <w:rStyle w:val="PageNumber"/>
            <w:color w:val="FFFFFF" w:themeColor="background1"/>
          </w:rPr>
          <w:instrText xml:space="preserve"> PAGE </w:instrText>
        </w:r>
        <w:r w:rsidRPr="006D2DEE">
          <w:rPr>
            <w:rStyle w:val="PageNumber"/>
            <w:color w:val="FFFFFF" w:themeColor="background1"/>
          </w:rPr>
          <w:fldChar w:fldCharType="separate"/>
        </w:r>
        <w:r>
          <w:rPr>
            <w:rStyle w:val="PageNumber"/>
            <w:color w:val="FFFFFF" w:themeColor="background1"/>
          </w:rPr>
          <w:t>4</w:t>
        </w:r>
        <w:r w:rsidRPr="006D2DEE">
          <w:rPr>
            <w:rStyle w:val="PageNumber"/>
            <w:color w:val="FFFFFF" w:themeColor="background1"/>
          </w:rPr>
          <w:fldChar w:fldCharType="end"/>
        </w:r>
      </w:p>
    </w:sdtContent>
  </w:sdt>
  <w:p w14:paraId="17E8E582" w14:textId="37DFBBE5" w:rsidR="00282B32" w:rsidRPr="00B31376" w:rsidRDefault="00F21A3F" w:rsidP="00F21A3F">
    <w:pPr>
      <w:pStyle w:val="Footer"/>
      <w:spacing w:after="0"/>
      <w:ind w:right="170"/>
      <w:rPr>
        <w:rFonts w:eastAsiaTheme="minorEastAsia"/>
      </w:rPr>
    </w:pPr>
    <w:r>
      <w:rPr>
        <w:rFonts w:eastAsiaTheme="minorEastAsia"/>
      </w:rPr>
      <w:fldChar w:fldCharType="begin"/>
    </w:r>
    <w:r>
      <w:rPr>
        <w:rFonts w:eastAsiaTheme="minorEastAsia"/>
      </w:rPr>
      <w:instrText xml:space="preserve"> FILENAME \* MERGEFORMAT </w:instrText>
    </w:r>
    <w:r>
      <w:rPr>
        <w:rFonts w:eastAsiaTheme="minorEastAsia"/>
      </w:rPr>
      <w:fldChar w:fldCharType="separate"/>
    </w:r>
    <w:r w:rsidR="003B57A3">
      <w:rPr>
        <w:rFonts w:eastAsiaTheme="minorEastAsia"/>
        <w:noProof/>
      </w:rPr>
      <w:t xml:space="preserve">AI Governance Toolkit  V1.2 FINAL </w:t>
    </w:r>
    <w:r>
      <w:rPr>
        <w:rFonts w:eastAsiaTheme="minorEastAsi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val="0"/>
        <w:color w:val="auto"/>
      </w:rPr>
      <w:id w:val="-985923511"/>
      <w:docPartObj>
        <w:docPartGallery w:val="Page Numbers (Bottom of Page)"/>
        <w:docPartUnique/>
      </w:docPartObj>
    </w:sdtPr>
    <w:sdtContent>
      <w:p w14:paraId="1E31384E" w14:textId="77777777" w:rsidR="00884EAA" w:rsidRPr="00884EAA" w:rsidRDefault="00884EAA" w:rsidP="00884EAA">
        <w:pPr>
          <w:pStyle w:val="Footer"/>
          <w:framePr w:w="521" w:h="321" w:hRule="exact" w:wrap="none" w:vAnchor="text" w:hAnchor="page" w:x="10447" w:y="1"/>
          <w:jc w:val="center"/>
          <w:rPr>
            <w:rStyle w:val="PageNumber"/>
            <w:b w:val="0"/>
            <w:bCs/>
            <w:color w:val="auto"/>
          </w:rPr>
        </w:pPr>
        <w:r w:rsidRPr="00884EAA">
          <w:rPr>
            <w:rStyle w:val="PageNumber"/>
            <w:b w:val="0"/>
            <w:bCs/>
            <w:color w:val="auto"/>
          </w:rPr>
          <w:fldChar w:fldCharType="begin"/>
        </w:r>
        <w:r w:rsidRPr="00884EAA">
          <w:rPr>
            <w:rStyle w:val="PageNumber"/>
            <w:b w:val="0"/>
            <w:bCs/>
            <w:color w:val="auto"/>
          </w:rPr>
          <w:instrText xml:space="preserve"> PAGE </w:instrText>
        </w:r>
        <w:r w:rsidRPr="00884EAA">
          <w:rPr>
            <w:rStyle w:val="PageNumber"/>
            <w:b w:val="0"/>
            <w:bCs/>
            <w:color w:val="auto"/>
          </w:rPr>
          <w:fldChar w:fldCharType="separate"/>
        </w:r>
        <w:r w:rsidRPr="00884EAA">
          <w:rPr>
            <w:rStyle w:val="PageNumber"/>
            <w:b w:val="0"/>
            <w:bCs/>
            <w:color w:val="auto"/>
          </w:rPr>
          <w:t>4</w:t>
        </w:r>
        <w:r w:rsidRPr="00884EAA">
          <w:rPr>
            <w:rStyle w:val="PageNumber"/>
            <w:b w:val="0"/>
            <w:bCs/>
            <w:color w:val="auto"/>
          </w:rPr>
          <w:fldChar w:fldCharType="end"/>
        </w:r>
      </w:p>
    </w:sdtContent>
  </w:sdt>
  <w:p w14:paraId="585E6ABE" w14:textId="6F466478" w:rsidR="0075488A" w:rsidRPr="00D06526" w:rsidRDefault="00F969EC" w:rsidP="00D06526">
    <w:pPr>
      <w:pStyle w:val="Footer"/>
      <w:spacing w:after="0"/>
      <w:ind w:right="170"/>
      <w:rPr>
        <w:rFonts w:eastAsiaTheme="minorEastAsia"/>
      </w:rPr>
    </w:pPr>
    <w:r>
      <w:rPr>
        <w:rFonts w:eastAsiaTheme="minorEastAsia"/>
      </w:rPr>
      <w:fldChar w:fldCharType="begin"/>
    </w:r>
    <w:r>
      <w:rPr>
        <w:rFonts w:eastAsiaTheme="minorEastAsia"/>
      </w:rPr>
      <w:instrText xml:space="preserve"> FILENAME \* MERGEFORMAT </w:instrText>
    </w:r>
    <w:r>
      <w:rPr>
        <w:rFonts w:eastAsiaTheme="minorEastAsia"/>
      </w:rPr>
      <w:fldChar w:fldCharType="separate"/>
    </w:r>
    <w:r>
      <w:rPr>
        <w:rFonts w:eastAsiaTheme="minorEastAsia"/>
        <w:noProof/>
      </w:rPr>
      <w:t xml:space="preserve">AI Governance Toolkit  V1.2 FINAL </w:t>
    </w:r>
    <w:r>
      <w:rPr>
        <w:rFonts w:eastAsiaTheme="minorEastAsia"/>
      </w:rPr>
      <w:fldChar w:fldCharType="end"/>
    </w:r>
    <w:r w:rsidR="00807CAF">
      <w:rPr>
        <w:noProof/>
      </w:rPr>
      <w:drawing>
        <wp:anchor distT="0" distB="0" distL="114300" distR="114300" simplePos="0" relativeHeight="251658244" behindDoc="1" locked="0" layoutInCell="1" allowOverlap="1" wp14:anchorId="4CF70021" wp14:editId="6689C77A">
          <wp:simplePos x="0" y="0"/>
          <wp:positionH relativeFrom="page">
            <wp:posOffset>383913</wp:posOffset>
          </wp:positionH>
          <wp:positionV relativeFrom="page">
            <wp:posOffset>7738969</wp:posOffset>
          </wp:positionV>
          <wp:extent cx="7559675" cy="10695305"/>
          <wp:effectExtent l="0" t="0" r="0" b="0"/>
          <wp:wrapNone/>
          <wp:docPr id="17332934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99606" name="Graphic 1"/>
                  <pic:cNvPicPr/>
                </pic:nvPicPr>
                <pic:blipFill>
                  <a:blip r:embed="rId1">
                    <a:extLst>
                      <a:ext uri="{96DAC541-7B7A-43D3-8B79-37D633B846F1}">
                        <asvg:svgBlip xmlns:asvg="http://schemas.microsoft.com/office/drawing/2016/SVG/main" r:embed="rId2"/>
                      </a:ext>
                    </a:extLst>
                  </a:blip>
                  <a:stretch>
                    <a:fillRect/>
                  </a:stretch>
                </pic:blipFill>
                <pic:spPr>
                  <a:xfrm>
                    <a:off x="0" y="0"/>
                    <a:ext cx="7559675" cy="1069530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2F6DD" w14:textId="32858F5E" w:rsidR="00254279" w:rsidRPr="00807CAF" w:rsidRDefault="005E13C4" w:rsidP="00807CAF">
    <w:pPr>
      <w:pStyle w:val="Footer"/>
    </w:pPr>
    <w:r>
      <w:rPr>
        <w:noProof/>
      </w:rPr>
      <w:drawing>
        <wp:anchor distT="0" distB="0" distL="114300" distR="114300" simplePos="0" relativeHeight="251658243" behindDoc="1" locked="0" layoutInCell="1" allowOverlap="1" wp14:anchorId="45B2A63E" wp14:editId="073111A8">
          <wp:simplePos x="0" y="0"/>
          <wp:positionH relativeFrom="page">
            <wp:posOffset>-46392</wp:posOffset>
          </wp:positionH>
          <wp:positionV relativeFrom="page">
            <wp:posOffset>10835304</wp:posOffset>
          </wp:positionV>
          <wp:extent cx="7559806" cy="10695599"/>
          <wp:effectExtent l="0" t="0" r="0" b="0"/>
          <wp:wrapNone/>
          <wp:docPr id="145213040"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410676" name="Graphic 6"/>
                  <pic:cNvPicPr/>
                </pic:nvPicPr>
                <pic:blipFill>
                  <a:blip r:embed="rId1">
                    <a:extLst>
                      <a:ext uri="{96DAC541-7B7A-43D3-8B79-37D633B846F1}">
                        <asvg:svgBlip xmlns:asvg="http://schemas.microsoft.com/office/drawing/2016/SVG/main" r:embed="rId2"/>
                      </a:ext>
                    </a:extLst>
                  </a:blip>
                  <a:stretch>
                    <a:fillRect/>
                  </a:stretch>
                </pic:blipFill>
                <pic:spPr>
                  <a:xfrm>
                    <a:off x="0" y="0"/>
                    <a:ext cx="7559806" cy="10695599"/>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2053568"/>
      <w:docPartObj>
        <w:docPartGallery w:val="Page Numbers (Bottom of Page)"/>
        <w:docPartUnique/>
      </w:docPartObj>
    </w:sdtPr>
    <w:sdtContent>
      <w:p w14:paraId="11371B83" w14:textId="77777777" w:rsidR="007228B3" w:rsidRDefault="007228B3" w:rsidP="00FF3B31">
        <w:pPr>
          <w:pStyle w:val="Footer"/>
          <w:framePr w:w="521" w:h="321" w:hRule="exact" w:wrap="none" w:vAnchor="text" w:hAnchor="page" w:x="10333" w:y="-100"/>
          <w:jc w:val="center"/>
          <w:rPr>
            <w:rStyle w:val="PageNumber"/>
          </w:rPr>
        </w:pPr>
        <w:r w:rsidRPr="006D2DEE">
          <w:rPr>
            <w:rStyle w:val="PageNumber"/>
            <w:color w:val="FFFFFF" w:themeColor="background1"/>
          </w:rPr>
          <w:fldChar w:fldCharType="begin"/>
        </w:r>
        <w:r w:rsidRPr="006D2DEE">
          <w:rPr>
            <w:rStyle w:val="PageNumber"/>
            <w:color w:val="FFFFFF" w:themeColor="background1"/>
          </w:rPr>
          <w:instrText xml:space="preserve"> PAGE </w:instrText>
        </w:r>
        <w:r w:rsidRPr="006D2DEE">
          <w:rPr>
            <w:rStyle w:val="PageNumber"/>
            <w:color w:val="FFFFFF" w:themeColor="background1"/>
          </w:rPr>
          <w:fldChar w:fldCharType="separate"/>
        </w:r>
        <w:r>
          <w:rPr>
            <w:rStyle w:val="PageNumber"/>
            <w:color w:val="FFFFFF" w:themeColor="background1"/>
          </w:rPr>
          <w:t>14</w:t>
        </w:r>
        <w:r w:rsidRPr="006D2DEE">
          <w:rPr>
            <w:rStyle w:val="PageNumber"/>
            <w:color w:val="FFFFFF" w:themeColor="background1"/>
          </w:rPr>
          <w:fldChar w:fldCharType="end"/>
        </w:r>
      </w:p>
    </w:sdtContent>
  </w:sdt>
  <w:p w14:paraId="6D40C440" w14:textId="02038989" w:rsidR="007228B3" w:rsidRPr="00807CAF" w:rsidRDefault="007228B3" w:rsidP="00FF3B31">
    <w:pPr>
      <w:pStyle w:val="Footer"/>
      <w:spacing w:after="0"/>
      <w:ind w:right="170"/>
    </w:pPr>
    <w:r>
      <w:rPr>
        <w:rFonts w:eastAsiaTheme="minorEastAsia"/>
      </w:rPr>
      <w:fldChar w:fldCharType="begin"/>
    </w:r>
    <w:r>
      <w:rPr>
        <w:rFonts w:eastAsiaTheme="minorEastAsia"/>
      </w:rPr>
      <w:instrText xml:space="preserve"> FILENAME \* MERGEFORMAT </w:instrText>
    </w:r>
    <w:r>
      <w:rPr>
        <w:rFonts w:eastAsiaTheme="minorEastAsia"/>
      </w:rPr>
      <w:fldChar w:fldCharType="separate"/>
    </w:r>
    <w:r>
      <w:rPr>
        <w:rFonts w:eastAsiaTheme="minorEastAsia"/>
        <w:noProof/>
      </w:rPr>
      <w:t xml:space="preserve">AI Governance Toolkit  V1.2 FINAL </w:t>
    </w:r>
    <w:r>
      <w:rPr>
        <w:rFonts w:eastAsiaTheme="minorEastAsia"/>
      </w:rPr>
      <w:fldChar w:fldCharType="end"/>
    </w:r>
    <w:r>
      <w:rPr>
        <w:noProof/>
      </w:rPr>
      <w:drawing>
        <wp:anchor distT="0" distB="0" distL="114300" distR="114300" simplePos="0" relativeHeight="251658248" behindDoc="1" locked="0" layoutInCell="1" allowOverlap="1" wp14:anchorId="68B5A9CF" wp14:editId="1C404D08">
          <wp:simplePos x="0" y="0"/>
          <wp:positionH relativeFrom="page">
            <wp:posOffset>-46392</wp:posOffset>
          </wp:positionH>
          <wp:positionV relativeFrom="page">
            <wp:posOffset>10835304</wp:posOffset>
          </wp:positionV>
          <wp:extent cx="7559806" cy="10695599"/>
          <wp:effectExtent l="0" t="0" r="0" b="0"/>
          <wp:wrapNone/>
          <wp:docPr id="107424939"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410676" name="Graphic 6"/>
                  <pic:cNvPicPr/>
                </pic:nvPicPr>
                <pic:blipFill>
                  <a:blip r:embed="rId1">
                    <a:extLst>
                      <a:ext uri="{96DAC541-7B7A-43D3-8B79-37D633B846F1}">
                        <asvg:svgBlip xmlns:asvg="http://schemas.microsoft.com/office/drawing/2016/SVG/main" r:embed="rId2"/>
                      </a:ext>
                    </a:extLst>
                  </a:blip>
                  <a:stretch>
                    <a:fillRect/>
                  </a:stretch>
                </pic:blipFill>
                <pic:spPr>
                  <a:xfrm>
                    <a:off x="0" y="0"/>
                    <a:ext cx="7559806" cy="10695599"/>
                  </a:xfrm>
                  <a:prstGeom prst="rect">
                    <a:avLst/>
                  </a:prstGeom>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auto"/>
      </w:rPr>
      <w:id w:val="490065081"/>
      <w:docPartObj>
        <w:docPartGallery w:val="Page Numbers (Bottom of Page)"/>
        <w:docPartUnique/>
      </w:docPartObj>
    </w:sdtPr>
    <w:sdtContent>
      <w:p w14:paraId="22CFF64B" w14:textId="77777777" w:rsidR="00C648B0" w:rsidRPr="00C648B0" w:rsidRDefault="00C648B0" w:rsidP="00C648B0">
        <w:pPr>
          <w:pStyle w:val="Footer"/>
          <w:framePr w:w="560" w:h="321" w:hRule="exact" w:wrap="none" w:vAnchor="text" w:hAnchor="page" w:x="15290" w:yAlign="top"/>
          <w:jc w:val="center"/>
          <w:rPr>
            <w:rStyle w:val="PageNumber"/>
            <w:color w:val="auto"/>
          </w:rPr>
        </w:pPr>
        <w:r w:rsidRPr="00C648B0">
          <w:rPr>
            <w:rStyle w:val="PageNumber"/>
            <w:color w:val="auto"/>
          </w:rPr>
          <w:fldChar w:fldCharType="begin"/>
        </w:r>
        <w:r w:rsidRPr="00C648B0">
          <w:rPr>
            <w:rStyle w:val="PageNumber"/>
            <w:color w:val="auto"/>
          </w:rPr>
          <w:instrText xml:space="preserve"> PAGE </w:instrText>
        </w:r>
        <w:r w:rsidRPr="00C648B0">
          <w:rPr>
            <w:rStyle w:val="PageNumber"/>
            <w:color w:val="auto"/>
          </w:rPr>
          <w:fldChar w:fldCharType="separate"/>
        </w:r>
        <w:r w:rsidRPr="00C648B0">
          <w:rPr>
            <w:rStyle w:val="PageNumber"/>
            <w:color w:val="auto"/>
          </w:rPr>
          <w:t>10</w:t>
        </w:r>
        <w:r w:rsidRPr="00C648B0">
          <w:rPr>
            <w:rStyle w:val="PageNumber"/>
            <w:color w:val="auto"/>
          </w:rPr>
          <w:fldChar w:fldCharType="end"/>
        </w:r>
      </w:p>
    </w:sdtContent>
  </w:sdt>
  <w:sdt>
    <w:sdtPr>
      <w:rPr>
        <w:rStyle w:val="PageNumber"/>
      </w:rPr>
      <w:id w:val="1793092263"/>
      <w:docPartObj>
        <w:docPartGallery w:val="Page Numbers (Bottom of Page)"/>
        <w:docPartUnique/>
      </w:docPartObj>
    </w:sdtPr>
    <w:sdtContent>
      <w:p w14:paraId="785F0CB4" w14:textId="77777777" w:rsidR="00537380" w:rsidRDefault="00537380" w:rsidP="00537380">
        <w:pPr>
          <w:pStyle w:val="Footer"/>
          <w:framePr w:w="521" w:h="321" w:hRule="exact" w:wrap="none" w:vAnchor="text" w:hAnchor="page" w:x="10447" w:y="1"/>
          <w:ind w:right="-38"/>
          <w:jc w:val="center"/>
          <w:rPr>
            <w:rStyle w:val="PageNumber"/>
          </w:rPr>
        </w:pPr>
        <w:r w:rsidRPr="006D2DEE">
          <w:rPr>
            <w:rStyle w:val="PageNumber"/>
            <w:color w:val="FFFFFF" w:themeColor="background1"/>
          </w:rPr>
          <w:fldChar w:fldCharType="begin"/>
        </w:r>
        <w:r w:rsidRPr="006D2DEE">
          <w:rPr>
            <w:rStyle w:val="PageNumber"/>
            <w:color w:val="FFFFFF" w:themeColor="background1"/>
          </w:rPr>
          <w:instrText xml:space="preserve"> PAGE </w:instrText>
        </w:r>
        <w:r w:rsidRPr="006D2DEE">
          <w:rPr>
            <w:rStyle w:val="PageNumber"/>
            <w:color w:val="FFFFFF" w:themeColor="background1"/>
          </w:rPr>
          <w:fldChar w:fldCharType="separate"/>
        </w:r>
        <w:r>
          <w:rPr>
            <w:rStyle w:val="PageNumber"/>
            <w:color w:val="FFFFFF" w:themeColor="background1"/>
          </w:rPr>
          <w:t>16</w:t>
        </w:r>
        <w:r w:rsidRPr="006D2DEE">
          <w:rPr>
            <w:rStyle w:val="PageNumber"/>
            <w:color w:val="FFFFFF" w:themeColor="background1"/>
          </w:rPr>
          <w:fldChar w:fldCharType="end"/>
        </w:r>
      </w:p>
    </w:sdtContent>
  </w:sdt>
  <w:p w14:paraId="1F285C83" w14:textId="56091636" w:rsidR="00C648B0" w:rsidRPr="00807CAF" w:rsidRDefault="00A81117" w:rsidP="00807CAF">
    <w:pPr>
      <w:pStyle w:val="Footer"/>
    </w:pPr>
    <w:fldSimple w:instr="FILENAME \* MERGEFORMAT">
      <w:r>
        <w:rPr>
          <w:noProof/>
        </w:rPr>
        <w:t xml:space="preserve">AI Governance Toolkit  V1.2 FINAL </w:t>
      </w:r>
    </w:fldSimple>
    <w:r w:rsidR="00C648B0">
      <w:tab/>
    </w:r>
    <w:r w:rsidR="00C648B0">
      <w:rPr>
        <w:noProof/>
      </w:rPr>
      <w:drawing>
        <wp:anchor distT="0" distB="0" distL="114300" distR="114300" simplePos="0" relativeHeight="251658246" behindDoc="1" locked="0" layoutInCell="1" allowOverlap="1" wp14:anchorId="6A71C915" wp14:editId="2A3C0D03">
          <wp:simplePos x="0" y="0"/>
          <wp:positionH relativeFrom="page">
            <wp:posOffset>-46392</wp:posOffset>
          </wp:positionH>
          <wp:positionV relativeFrom="page">
            <wp:posOffset>10835304</wp:posOffset>
          </wp:positionV>
          <wp:extent cx="7559806" cy="10695599"/>
          <wp:effectExtent l="0" t="0" r="0" b="0"/>
          <wp:wrapNone/>
          <wp:docPr id="1771723577"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410676" name="Graphic 6"/>
                  <pic:cNvPicPr/>
                </pic:nvPicPr>
                <pic:blipFill>
                  <a:blip r:embed="rId1">
                    <a:extLst>
                      <a:ext uri="{96DAC541-7B7A-43D3-8B79-37D633B846F1}">
                        <asvg:svgBlip xmlns:asvg="http://schemas.microsoft.com/office/drawing/2016/SVG/main" r:embed="rId2"/>
                      </a:ext>
                    </a:extLst>
                  </a:blip>
                  <a:stretch>
                    <a:fillRect/>
                  </a:stretch>
                </pic:blipFill>
                <pic:spPr>
                  <a:xfrm>
                    <a:off x="0" y="0"/>
                    <a:ext cx="7559806" cy="10695599"/>
                  </a:xfrm>
                  <a:prstGeom prst="rect">
                    <a:avLst/>
                  </a:prstGeom>
                </pic:spPr>
              </pic:pic>
            </a:graphicData>
          </a:graphic>
          <wp14:sizeRelH relativeFrom="page">
            <wp14:pctWidth>0</wp14:pctWidth>
          </wp14:sizeRelH>
          <wp14:sizeRelV relativeFrom="page">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6A345" w14:textId="4FD7E30F" w:rsidR="00537380" w:rsidRPr="00061928" w:rsidRDefault="00537380" w:rsidP="00537380">
    <w:pPr>
      <w:pStyle w:val="Footer"/>
    </w:pPr>
    <w: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val="0"/>
        <w:color w:val="auto"/>
      </w:rPr>
      <w:id w:val="1035547880"/>
      <w:docPartObj>
        <w:docPartGallery w:val="Page Numbers (Bottom of Page)"/>
        <w:docPartUnique/>
      </w:docPartObj>
    </w:sdtPr>
    <w:sdtContent>
      <w:p w14:paraId="787A7071" w14:textId="77777777" w:rsidR="00C302B5" w:rsidRPr="00884EAA" w:rsidRDefault="00C302B5" w:rsidP="00884EAA">
        <w:pPr>
          <w:pStyle w:val="Footer"/>
          <w:framePr w:w="521" w:h="321" w:hRule="exact" w:wrap="none" w:vAnchor="text" w:hAnchor="page" w:x="10447" w:y="1"/>
          <w:jc w:val="center"/>
          <w:rPr>
            <w:rStyle w:val="PageNumber"/>
            <w:b w:val="0"/>
            <w:bCs/>
            <w:color w:val="auto"/>
          </w:rPr>
        </w:pPr>
        <w:r w:rsidRPr="00884EAA">
          <w:rPr>
            <w:rStyle w:val="PageNumber"/>
            <w:b w:val="0"/>
            <w:bCs/>
            <w:color w:val="auto"/>
          </w:rPr>
          <w:fldChar w:fldCharType="begin"/>
        </w:r>
        <w:r w:rsidRPr="00884EAA">
          <w:rPr>
            <w:rStyle w:val="PageNumber"/>
            <w:b w:val="0"/>
            <w:bCs/>
            <w:color w:val="auto"/>
          </w:rPr>
          <w:instrText xml:space="preserve"> PAGE </w:instrText>
        </w:r>
        <w:r w:rsidRPr="00884EAA">
          <w:rPr>
            <w:rStyle w:val="PageNumber"/>
            <w:b w:val="0"/>
            <w:bCs/>
            <w:color w:val="auto"/>
          </w:rPr>
          <w:fldChar w:fldCharType="separate"/>
        </w:r>
        <w:r w:rsidRPr="00884EAA">
          <w:rPr>
            <w:rStyle w:val="PageNumber"/>
            <w:b w:val="0"/>
            <w:bCs/>
            <w:color w:val="auto"/>
          </w:rPr>
          <w:t>4</w:t>
        </w:r>
        <w:r w:rsidRPr="00884EAA">
          <w:rPr>
            <w:rStyle w:val="PageNumber"/>
            <w:b w:val="0"/>
            <w:bCs/>
            <w:color w:val="auto"/>
          </w:rPr>
          <w:fldChar w:fldCharType="end"/>
        </w:r>
      </w:p>
    </w:sdtContent>
  </w:sdt>
  <w:p w14:paraId="0C3889FA" w14:textId="289A4991" w:rsidR="00C302B5" w:rsidRPr="00B31376" w:rsidRDefault="00C302B5" w:rsidP="00F969EC">
    <w:pPr>
      <w:pStyle w:val="Footer"/>
      <w:spacing w:after="0"/>
      <w:ind w:right="170"/>
      <w:rPr>
        <w:rFonts w:eastAsiaTheme="minorEastAsia"/>
      </w:rPr>
    </w:pPr>
    <w:r>
      <w:rPr>
        <w:rFonts w:eastAsiaTheme="minorEastAsia"/>
      </w:rPr>
      <w:fldChar w:fldCharType="begin"/>
    </w:r>
    <w:r>
      <w:rPr>
        <w:rFonts w:eastAsiaTheme="minorEastAsia"/>
      </w:rPr>
      <w:instrText xml:space="preserve"> FILENAME \* MERGEFORMAT </w:instrText>
    </w:r>
    <w:r>
      <w:rPr>
        <w:rFonts w:eastAsiaTheme="minorEastAsia"/>
      </w:rPr>
      <w:fldChar w:fldCharType="separate"/>
    </w:r>
    <w:r>
      <w:rPr>
        <w:rFonts w:eastAsiaTheme="minorEastAsia"/>
        <w:noProof/>
      </w:rPr>
      <w:t xml:space="preserve"> </w:t>
    </w:r>
    <w:r>
      <w:rPr>
        <w:rFonts w:eastAsiaTheme="minorEastAsia"/>
      </w:rPr>
      <w:fldChar w:fldCharType="end"/>
    </w:r>
  </w:p>
  <w:p w14:paraId="7011F716" w14:textId="77777777" w:rsidR="00C302B5" w:rsidRPr="00061928" w:rsidRDefault="00C302B5" w:rsidP="00061928">
    <w:pPr>
      <w:pStyle w:val="Footer"/>
    </w:pPr>
    <w:r>
      <w:rPr>
        <w:noProof/>
      </w:rPr>
      <w:drawing>
        <wp:anchor distT="0" distB="0" distL="114300" distR="114300" simplePos="0" relativeHeight="251658247" behindDoc="1" locked="0" layoutInCell="1" allowOverlap="1" wp14:anchorId="7C40FAD4" wp14:editId="63E39053">
          <wp:simplePos x="0" y="0"/>
          <wp:positionH relativeFrom="page">
            <wp:posOffset>383913</wp:posOffset>
          </wp:positionH>
          <wp:positionV relativeFrom="page">
            <wp:posOffset>7738969</wp:posOffset>
          </wp:positionV>
          <wp:extent cx="7559675" cy="10695305"/>
          <wp:effectExtent l="0" t="0" r="0" b="0"/>
          <wp:wrapNone/>
          <wp:docPr id="11321632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99606" name="Graphic 1"/>
                  <pic:cNvPicPr/>
                </pic:nvPicPr>
                <pic:blipFill>
                  <a:blip r:embed="rId1">
                    <a:extLst>
                      <a:ext uri="{96DAC541-7B7A-43D3-8B79-37D633B846F1}">
                        <asvg:svgBlip xmlns:asvg="http://schemas.microsoft.com/office/drawing/2016/SVG/main" r:embed="rId2"/>
                      </a:ext>
                    </a:extLst>
                  </a:blip>
                  <a:stretch>
                    <a:fillRect/>
                  </a:stretch>
                </pic:blipFill>
                <pic:spPr>
                  <a:xfrm>
                    <a:off x="0" y="0"/>
                    <a:ext cx="7559675" cy="10695305"/>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FD5CA" w14:textId="48B0A0F7" w:rsidR="00806197" w:rsidRDefault="00806197">
    <w:pPr>
      <w:pStyle w:val="Footer"/>
    </w:pPr>
  </w:p>
  <w:p w14:paraId="455EEDCD" w14:textId="13604E12" w:rsidR="00806197" w:rsidRPr="00254279" w:rsidRDefault="00806197" w:rsidP="00EE4F5E">
    <w:pPr>
      <w:pStyle w:val="Footer"/>
      <w:tabs>
        <w:tab w:val="center" w:pos="4513"/>
        <w:tab w:val="right" w:pos="9026"/>
      </w:tabs>
      <w:ind w:right="360"/>
      <w:rPr>
        <w:color w:val="001441" w:themeColor="text1"/>
        <w:lang w:val="en-A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BD718" w14:textId="77777777" w:rsidR="00035FF1" w:rsidRDefault="00035FF1" w:rsidP="00596F07">
      <w:r>
        <w:separator/>
      </w:r>
    </w:p>
  </w:footnote>
  <w:footnote w:type="continuationSeparator" w:id="0">
    <w:p w14:paraId="695D6F4F" w14:textId="77777777" w:rsidR="00035FF1" w:rsidRDefault="00035FF1" w:rsidP="00596F07">
      <w:r>
        <w:continuationSeparator/>
      </w:r>
    </w:p>
  </w:footnote>
  <w:footnote w:id="1">
    <w:p w14:paraId="5A06A327" w14:textId="77777777" w:rsidR="00BF4005" w:rsidRDefault="00BF4005" w:rsidP="00BF4005">
      <w:pPr>
        <w:pStyle w:val="FootnoteText"/>
      </w:pPr>
      <w:r>
        <w:rPr>
          <w:rStyle w:val="FootnoteReference"/>
        </w:rPr>
        <w:footnoteRef/>
      </w:r>
      <w:r>
        <w:t xml:space="preserve"> It is reasonable and expected that some tools will already be embedded in operational workflows prior to adoption and implementation of this framework. Where such tools are already in use, assessment can be done retrospectively to identify risks and inform appropriate mitigation and remediation actions. </w:t>
      </w:r>
    </w:p>
  </w:footnote>
  <w:footnote w:id="2">
    <w:p w14:paraId="4BADE63C" w14:textId="7B5F4B0B" w:rsidR="00BC6DC4" w:rsidRPr="00782C0F" w:rsidRDefault="00BC6DC4" w:rsidP="00BC6DC4">
      <w:pPr>
        <w:pStyle w:val="FootnoteText"/>
        <w:spacing w:after="120"/>
        <w:rPr>
          <w:rFonts w:ascii="Arial" w:hAnsi="Arial" w:cs="Arial"/>
        </w:rPr>
      </w:pPr>
      <w:r w:rsidRPr="00782C0F">
        <w:rPr>
          <w:rStyle w:val="FootnoteReference"/>
          <w:rFonts w:ascii="Arial" w:hAnsi="Arial" w:cs="Arial"/>
        </w:rPr>
        <w:footnoteRef/>
      </w:r>
      <w:r w:rsidRPr="00782C0F">
        <w:rPr>
          <w:rFonts w:ascii="Arial" w:hAnsi="Arial" w:cs="Arial"/>
        </w:rPr>
        <w:t xml:space="preserve"> Recent advice from the Australian Signals Directorate (ASD) in June 2026 describes that the Essential Eight Maturity Model needs to </w:t>
      </w:r>
      <w:r w:rsidR="006838ED" w:rsidRPr="00782C0F">
        <w:rPr>
          <w:rFonts w:ascii="Arial" w:hAnsi="Arial" w:cs="Arial"/>
        </w:rPr>
        <w:t>evolve and</w:t>
      </w:r>
      <w:r w:rsidRPr="00782C0F">
        <w:rPr>
          <w:rFonts w:ascii="Arial" w:hAnsi="Arial" w:cs="Arial"/>
        </w:rPr>
        <w:t xml:space="preserve"> may be subject to strengthening with a revised approach to contemporary, flexible cyber security practice. Updates to the Essential Eight, or any new best practice cyber security advice, will be reflected in revised versions of this AI Governance Framework. </w:t>
      </w:r>
    </w:p>
    <w:p w14:paraId="6966682E" w14:textId="77777777" w:rsidR="00BC6DC4" w:rsidRPr="00782C0F" w:rsidRDefault="00BC6DC4" w:rsidP="00BC6DC4">
      <w:pPr>
        <w:pStyle w:val="FootnoteText"/>
        <w:rPr>
          <w:rFonts w:ascii="Arial" w:hAnsi="Arial" w:cs="Arial"/>
        </w:rPr>
      </w:pPr>
      <w:r w:rsidRPr="00782C0F">
        <w:rPr>
          <w:rFonts w:ascii="Arial" w:hAnsi="Arial" w:cs="Arial"/>
        </w:rPr>
        <w:t xml:space="preserve">Organisations should regularly check ASD advice as part of their technical governance obligations.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76C55" w14:textId="77777777" w:rsidR="00FA29AD" w:rsidRDefault="00FA29AD">
    <w:pPr>
      <w:pStyle w:val="Header"/>
    </w:pPr>
    <w:r>
      <w:rPr>
        <w:noProof/>
      </w:rPr>
      <w:drawing>
        <wp:anchor distT="0" distB="0" distL="114300" distR="114300" simplePos="0" relativeHeight="251658240" behindDoc="1" locked="0" layoutInCell="1" allowOverlap="1" wp14:anchorId="7FE051C8" wp14:editId="4F50DA4A">
          <wp:simplePos x="0" y="0"/>
          <wp:positionH relativeFrom="page">
            <wp:posOffset>11258</wp:posOffset>
          </wp:positionH>
          <wp:positionV relativeFrom="page">
            <wp:posOffset>27305</wp:posOffset>
          </wp:positionV>
          <wp:extent cx="7559675" cy="10695305"/>
          <wp:effectExtent l="0" t="0" r="0" b="0"/>
          <wp:wrapNone/>
          <wp:docPr id="620996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99606" name="Graphic 1"/>
                  <pic:cNvPicPr/>
                </pic:nvPicPr>
                <pic:blipFill>
                  <a:blip r:embed="rId1">
                    <a:extLst>
                      <a:ext uri="{96DAC541-7B7A-43D3-8B79-37D633B846F1}">
                        <asvg:svgBlip xmlns:asvg="http://schemas.microsoft.com/office/drawing/2016/SVG/main" r:embed="rId2"/>
                      </a:ext>
                    </a:extLst>
                  </a:blip>
                  <a:stretch>
                    <a:fillRect/>
                  </a:stretch>
                </pic:blipFill>
                <pic:spPr>
                  <a:xfrm>
                    <a:off x="0" y="0"/>
                    <a:ext cx="7559675" cy="1069530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036AE" w14:textId="0EA3F3D7" w:rsidR="00F50DAD" w:rsidRDefault="00140D11" w:rsidP="007929BA">
    <w:pPr>
      <w:pStyle w:val="Header"/>
      <w:tabs>
        <w:tab w:val="clear" w:pos="284"/>
        <w:tab w:val="clear" w:pos="567"/>
        <w:tab w:val="clear" w:pos="851"/>
        <w:tab w:val="clear" w:pos="4513"/>
        <w:tab w:val="clear" w:pos="9026"/>
        <w:tab w:val="left" w:pos="3525"/>
      </w:tabs>
    </w:pPr>
    <w:r>
      <w:rPr>
        <w:noProof/>
      </w:rPr>
      <w:drawing>
        <wp:anchor distT="0" distB="0" distL="114300" distR="114300" simplePos="0" relativeHeight="251658245" behindDoc="1" locked="0" layoutInCell="1" allowOverlap="1" wp14:anchorId="2A0ED6BF" wp14:editId="77EBBC84">
          <wp:simplePos x="0" y="0"/>
          <wp:positionH relativeFrom="margin">
            <wp:posOffset>-723265</wp:posOffset>
          </wp:positionH>
          <wp:positionV relativeFrom="page">
            <wp:posOffset>8778</wp:posOffset>
          </wp:positionV>
          <wp:extent cx="7559675" cy="10695305"/>
          <wp:effectExtent l="0" t="0" r="3175" b="0"/>
          <wp:wrapNone/>
          <wp:docPr id="184207"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410676" name="Graphic 6"/>
                  <pic:cNvPicPr/>
                </pic:nvPicPr>
                <pic:blipFill>
                  <a:blip r:embed="rId1">
                    <a:extLst>
                      <a:ext uri="{96DAC541-7B7A-43D3-8B79-37D633B846F1}">
                        <asvg:svgBlip xmlns:asvg="http://schemas.microsoft.com/office/drawing/2016/SVG/main" r:embed="rId2"/>
                      </a:ext>
                    </a:extLst>
                  </a:blip>
                  <a:stretch>
                    <a:fillRect/>
                  </a:stretch>
                </pic:blipFill>
                <pic:spPr>
                  <a:xfrm>
                    <a:off x="0" y="0"/>
                    <a:ext cx="7559675" cy="10695305"/>
                  </a:xfrm>
                  <a:prstGeom prst="rect">
                    <a:avLst/>
                  </a:prstGeom>
                </pic:spPr>
              </pic:pic>
            </a:graphicData>
          </a:graphic>
          <wp14:sizeRelH relativeFrom="page">
            <wp14:pctWidth>0</wp14:pctWidth>
          </wp14:sizeRelH>
          <wp14:sizeRelV relativeFrom="page">
            <wp14:pctHeight>0</wp14:pctHeight>
          </wp14:sizeRelV>
        </wp:anchor>
      </w:drawing>
    </w:r>
    <w:r w:rsidR="007929BA">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D4357" w14:textId="77777777" w:rsidR="0075347C" w:rsidRDefault="007534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80992" w14:textId="3C06E5B3" w:rsidR="00C11A58" w:rsidRDefault="00C11A58">
    <w:pPr>
      <w:pStyle w:val="Header"/>
    </w:pPr>
    <w:r>
      <w:rPr>
        <w:noProof/>
      </w:rPr>
      <w:drawing>
        <wp:anchor distT="0" distB="0" distL="114300" distR="114300" simplePos="0" relativeHeight="251658241" behindDoc="1" locked="0" layoutInCell="1" allowOverlap="1" wp14:anchorId="60323B85" wp14:editId="36D3C96B">
          <wp:simplePos x="0" y="0"/>
          <wp:positionH relativeFrom="page">
            <wp:posOffset>-23713</wp:posOffset>
          </wp:positionH>
          <wp:positionV relativeFrom="page">
            <wp:posOffset>5203</wp:posOffset>
          </wp:positionV>
          <wp:extent cx="7559806" cy="10695599"/>
          <wp:effectExtent l="0" t="0" r="0" b="0"/>
          <wp:wrapNone/>
          <wp:docPr id="1925108073"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108073" name="Graphic 6"/>
                  <pic:cNvPicPr/>
                </pic:nvPicPr>
                <pic:blipFill>
                  <a:blip r:embed="rId1">
                    <a:extLst>
                      <a:ext uri="{96DAC541-7B7A-43D3-8B79-37D633B846F1}">
                        <asvg:svgBlip xmlns:asvg="http://schemas.microsoft.com/office/drawing/2016/SVG/main" r:embed="rId2"/>
                      </a:ext>
                    </a:extLst>
                  </a:blip>
                  <a:stretch>
                    <a:fillRect/>
                  </a:stretch>
                </pic:blipFill>
                <pic:spPr>
                  <a:xfrm>
                    <a:off x="0" y="0"/>
                    <a:ext cx="7559806" cy="10695599"/>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7A788" w14:textId="7814EC53" w:rsidR="00884EAA" w:rsidRDefault="00500C5E">
    <w:pPr>
      <w:pStyle w:val="Header"/>
    </w:pPr>
    <w:r>
      <w:rPr>
        <w:noProof/>
      </w:rPr>
      <w:drawing>
        <wp:anchor distT="0" distB="0" distL="114300" distR="114300" simplePos="0" relativeHeight="251658242" behindDoc="1" locked="0" layoutInCell="1" allowOverlap="1" wp14:anchorId="1F035786" wp14:editId="74592542">
          <wp:simplePos x="0" y="0"/>
          <wp:positionH relativeFrom="page">
            <wp:posOffset>-6611</wp:posOffset>
          </wp:positionH>
          <wp:positionV relativeFrom="page">
            <wp:posOffset>19647</wp:posOffset>
          </wp:positionV>
          <wp:extent cx="7559675" cy="10695305"/>
          <wp:effectExtent l="0" t="0" r="0" b="0"/>
          <wp:wrapNone/>
          <wp:docPr id="3776574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99606" name="Graphic 1"/>
                  <pic:cNvPicPr/>
                </pic:nvPicPr>
                <pic:blipFill>
                  <a:blip r:embed="rId1">
                    <a:extLst>
                      <a:ext uri="{96DAC541-7B7A-43D3-8B79-37D633B846F1}">
                        <asvg:svgBlip xmlns:asvg="http://schemas.microsoft.com/office/drawing/2016/SVG/main" r:embed="rId2"/>
                      </a:ext>
                    </a:extLst>
                  </a:blip>
                  <a:stretch>
                    <a:fillRect/>
                  </a:stretch>
                </pic:blipFill>
                <pic:spPr>
                  <a:xfrm>
                    <a:off x="0" y="0"/>
                    <a:ext cx="7559675" cy="10695305"/>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5A802" w14:textId="3DC5B540" w:rsidR="005E13C4" w:rsidRDefault="005E13C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6885F" w14:textId="6B90B1B0" w:rsidR="00C648B0" w:rsidRDefault="00C648B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AEA0D" w14:textId="35393840" w:rsidR="007929BA" w:rsidRDefault="007929BA" w:rsidP="007929BA">
    <w:pPr>
      <w:pStyle w:val="Header"/>
      <w:tabs>
        <w:tab w:val="clear" w:pos="284"/>
        <w:tab w:val="clear" w:pos="567"/>
        <w:tab w:val="clear" w:pos="851"/>
        <w:tab w:val="clear" w:pos="4513"/>
        <w:tab w:val="clear" w:pos="9026"/>
        <w:tab w:val="left" w:pos="3525"/>
      </w:tabs>
    </w:pPr>
    <w: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D93C1" w14:textId="77777777" w:rsidR="00806197" w:rsidRDefault="008061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42A0"/>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C766D6"/>
    <w:multiLevelType w:val="hybridMultilevel"/>
    <w:tmpl w:val="4A4EF960"/>
    <w:lvl w:ilvl="0" w:tplc="6C9AED92">
      <w:start w:val="1"/>
      <w:numFmt w:val="bullet"/>
      <w:lvlText w:val="●"/>
      <w:lvlJc w:val="left"/>
      <w:pPr>
        <w:ind w:left="540" w:hanging="270"/>
      </w:pPr>
      <w:rPr>
        <w:color w:val="001441" w:themeColor="text1"/>
      </w:rPr>
    </w:lvl>
    <w:lvl w:ilvl="1" w:tplc="0AC6A274">
      <w:start w:val="1"/>
      <w:numFmt w:val="bullet"/>
      <w:lvlText w:val="○"/>
      <w:lvlJc w:val="left"/>
      <w:pPr>
        <w:ind w:left="900" w:hanging="270"/>
      </w:pPr>
    </w:lvl>
    <w:lvl w:ilvl="2" w:tplc="D4E85DB4">
      <w:numFmt w:val="decimal"/>
      <w:lvlText w:val=""/>
      <w:lvlJc w:val="left"/>
    </w:lvl>
    <w:lvl w:ilvl="3" w:tplc="3B84AF1E">
      <w:numFmt w:val="decimal"/>
      <w:lvlText w:val=""/>
      <w:lvlJc w:val="left"/>
    </w:lvl>
    <w:lvl w:ilvl="4" w:tplc="BFE425B2">
      <w:numFmt w:val="decimal"/>
      <w:lvlText w:val=""/>
      <w:lvlJc w:val="left"/>
    </w:lvl>
    <w:lvl w:ilvl="5" w:tplc="90523156">
      <w:numFmt w:val="decimal"/>
      <w:lvlText w:val=""/>
      <w:lvlJc w:val="left"/>
    </w:lvl>
    <w:lvl w:ilvl="6" w:tplc="0B40E4BE">
      <w:numFmt w:val="decimal"/>
      <w:lvlText w:val=""/>
      <w:lvlJc w:val="left"/>
    </w:lvl>
    <w:lvl w:ilvl="7" w:tplc="F34C397A">
      <w:numFmt w:val="decimal"/>
      <w:lvlText w:val=""/>
      <w:lvlJc w:val="left"/>
    </w:lvl>
    <w:lvl w:ilvl="8" w:tplc="5BBCCD42">
      <w:numFmt w:val="decimal"/>
      <w:lvlText w:val=""/>
      <w:lvlJc w:val="left"/>
    </w:lvl>
  </w:abstractNum>
  <w:abstractNum w:abstractNumId="2" w15:restartNumberingAfterBreak="0">
    <w:nsid w:val="020536AD"/>
    <w:multiLevelType w:val="multilevel"/>
    <w:tmpl w:val="7A0E089A"/>
    <w:styleLink w:val="CurrentList2"/>
    <w:lvl w:ilvl="0">
      <w:start w:val="1"/>
      <w:numFmt w:val="bullet"/>
      <w:lvlText w:val=""/>
      <w:lvlJc w:val="left"/>
      <w:pPr>
        <w:ind w:left="284" w:hanging="284"/>
      </w:pPr>
      <w:rPr>
        <w:rFonts w:ascii="Symbol" w:hAnsi="Symbol" w:hint="default"/>
        <w:b/>
        <w:i w:val="0"/>
        <w:color w:val="CC614D" w:themeColor="accen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3C84214"/>
    <w:multiLevelType w:val="hybridMultilevel"/>
    <w:tmpl w:val="126E6D64"/>
    <w:lvl w:ilvl="0" w:tplc="1E46A816">
      <w:start w:val="1"/>
      <w:numFmt w:val="decimal"/>
      <w:lvlText w:val="%1."/>
      <w:lvlJc w:val="left"/>
      <w:pPr>
        <w:ind w:left="360" w:hanging="360"/>
      </w:pPr>
      <w:rPr>
        <w:rFonts w:hint="default"/>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3F45359"/>
    <w:multiLevelType w:val="hybridMultilevel"/>
    <w:tmpl w:val="524A5ED4"/>
    <w:lvl w:ilvl="0" w:tplc="262A9B22">
      <w:numFmt w:val="bullet"/>
      <w:lvlText w:val=""/>
      <w:lvlJc w:val="left"/>
      <w:pPr>
        <w:ind w:left="720" w:hanging="360"/>
      </w:pPr>
      <w:rPr>
        <w:rFonts w:ascii="Symbol" w:eastAsia="Calibr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484695B"/>
    <w:multiLevelType w:val="multilevel"/>
    <w:tmpl w:val="1F708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356A8B"/>
    <w:multiLevelType w:val="hybridMultilevel"/>
    <w:tmpl w:val="7958C55E"/>
    <w:lvl w:ilvl="0" w:tplc="298AF982">
      <w:start w:val="1"/>
      <w:numFmt w:val="decimal"/>
      <w:lvlText w:val="%1."/>
      <w:lvlJc w:val="left"/>
      <w:pPr>
        <w:ind w:left="360" w:hanging="360"/>
      </w:pPr>
      <w:rPr>
        <w:b w:val="0"/>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07590255"/>
    <w:multiLevelType w:val="hybridMultilevel"/>
    <w:tmpl w:val="B6E623CE"/>
    <w:lvl w:ilvl="0" w:tplc="F4E24AD8">
      <w:start w:val="1"/>
      <w:numFmt w:val="bullet"/>
      <w:lvlText w:val="●"/>
      <w:lvlJc w:val="left"/>
      <w:pPr>
        <w:ind w:left="540" w:hanging="270"/>
      </w:pPr>
      <w:rPr>
        <w:color w:val="auto"/>
      </w:rPr>
    </w:lvl>
    <w:lvl w:ilvl="1" w:tplc="FFFFFFFF">
      <w:start w:val="1"/>
      <w:numFmt w:val="bullet"/>
      <w:lvlText w:val="○"/>
      <w:lvlJc w:val="left"/>
      <w:pPr>
        <w:ind w:left="900" w:hanging="27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8EC00F2"/>
    <w:multiLevelType w:val="hybridMultilevel"/>
    <w:tmpl w:val="ED06A6CC"/>
    <w:lvl w:ilvl="0" w:tplc="973078F6">
      <w:numFmt w:val="bullet"/>
      <w:lvlText w:val=""/>
      <w:lvlJc w:val="left"/>
      <w:pPr>
        <w:ind w:left="720" w:hanging="360"/>
      </w:pPr>
      <w:rPr>
        <w:rFonts w:ascii="Symbol" w:eastAsia="Calibr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DA4733D"/>
    <w:multiLevelType w:val="hybridMultilevel"/>
    <w:tmpl w:val="7D4C297C"/>
    <w:lvl w:ilvl="0" w:tplc="867CD86E">
      <w:numFmt w:val="bullet"/>
      <w:lvlText w:val="•"/>
      <w:lvlJc w:val="left"/>
      <w:pPr>
        <w:ind w:left="1080" w:hanging="360"/>
      </w:pPr>
      <w:rPr>
        <w:rFonts w:ascii="Arial" w:eastAsia="Calibri" w:hAnsi="Arial" w:cs="Aria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7331B15"/>
    <w:multiLevelType w:val="hybridMultilevel"/>
    <w:tmpl w:val="7730CEE4"/>
    <w:lvl w:ilvl="0" w:tplc="330A611C">
      <w:start w:val="1"/>
      <w:numFmt w:val="bullet"/>
      <w:pStyle w:val="Bullets2"/>
      <w:lvlText w:val="—"/>
      <w:lvlJc w:val="left"/>
      <w:pPr>
        <w:ind w:left="567" w:hanging="283"/>
      </w:pPr>
      <w:rPr>
        <w:rFonts w:ascii="Arial (Body)" w:hAnsi="Arial (Body)"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D01795"/>
    <w:multiLevelType w:val="multilevel"/>
    <w:tmpl w:val="BA54AE86"/>
    <w:styleLink w:val="CurrentList3"/>
    <w:lvl w:ilvl="0">
      <w:start w:val="1"/>
      <w:numFmt w:val="decimal"/>
      <w:lvlText w:val="%1"/>
      <w:lvlJc w:val="left"/>
      <w:pPr>
        <w:ind w:left="284" w:hanging="284"/>
      </w:pPr>
      <w:rPr>
        <w:rFonts w:hint="default"/>
        <w:b/>
        <w:i w:val="0"/>
        <w:color w:val="007769" w:themeColor="accent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B464579"/>
    <w:multiLevelType w:val="hybridMultilevel"/>
    <w:tmpl w:val="ED543364"/>
    <w:lvl w:ilvl="0" w:tplc="A8FE90DC">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1320280"/>
    <w:multiLevelType w:val="hybridMultilevel"/>
    <w:tmpl w:val="7A0E089A"/>
    <w:lvl w:ilvl="0" w:tplc="7C4E1DF6">
      <w:start w:val="1"/>
      <w:numFmt w:val="bullet"/>
      <w:pStyle w:val="Bullets1"/>
      <w:lvlText w:val=""/>
      <w:lvlJc w:val="left"/>
      <w:pPr>
        <w:ind w:left="284" w:hanging="284"/>
      </w:pPr>
      <w:rPr>
        <w:rFonts w:ascii="Symbol" w:hAnsi="Symbol" w:hint="default"/>
        <w:b/>
        <w:i w:val="0"/>
        <w:color w:val="CC614D"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717638"/>
    <w:multiLevelType w:val="multilevel"/>
    <w:tmpl w:val="881E616A"/>
    <w:styleLink w:val="CurrentList1"/>
    <w:lvl w:ilvl="0">
      <w:start w:val="1"/>
      <w:numFmt w:val="bullet"/>
      <w:lvlText w:val=""/>
      <w:lvlJc w:val="left"/>
      <w:pPr>
        <w:ind w:left="284" w:hanging="284"/>
      </w:pPr>
      <w:rPr>
        <w:rFonts w:ascii="Symbol" w:hAnsi="Symbol" w:hint="default"/>
        <w:b/>
        <w:i w:val="0"/>
        <w:color w:val="CC614D" w:themeColor="accen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72A0745"/>
    <w:multiLevelType w:val="hybridMultilevel"/>
    <w:tmpl w:val="3DB83434"/>
    <w:lvl w:ilvl="0" w:tplc="25EE7BF8">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15:restartNumberingAfterBreak="0">
    <w:nsid w:val="3D163381"/>
    <w:multiLevelType w:val="hybridMultilevel"/>
    <w:tmpl w:val="48D694A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41A35099"/>
    <w:multiLevelType w:val="hybridMultilevel"/>
    <w:tmpl w:val="B654665A"/>
    <w:lvl w:ilvl="0" w:tplc="3758A796">
      <w:start w:val="1"/>
      <w:numFmt w:val="bullet"/>
      <w:pStyle w:val="Featureboxsub-bulletAHURI"/>
      <w:lvlText w:val="o"/>
      <w:lvlJc w:val="left"/>
      <w:pPr>
        <w:ind w:left="644" w:hanging="360"/>
      </w:pPr>
      <w:rPr>
        <w:rFonts w:ascii="Courier New" w:hAnsi="Courier New" w:cs="Courier New" w:hint="default"/>
        <w:color w:val="D7182A"/>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8" w15:restartNumberingAfterBreak="0">
    <w:nsid w:val="46F61676"/>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BB05D45"/>
    <w:multiLevelType w:val="multilevel"/>
    <w:tmpl w:val="260043EC"/>
    <w:lvl w:ilvl="0">
      <w:start w:val="1"/>
      <w:numFmt w:val="bullet"/>
      <w:lvlText w:val="•"/>
      <w:lvlJc w:val="left"/>
      <w:pPr>
        <w:tabs>
          <w:tab w:val="num" w:pos="720"/>
        </w:tabs>
        <w:ind w:left="720" w:hanging="360"/>
      </w:pPr>
      <w:rPr>
        <w:rFonts w:hint="default"/>
        <w:color w:val="4982D5"/>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AC3B55"/>
    <w:multiLevelType w:val="hybridMultilevel"/>
    <w:tmpl w:val="CD888C62"/>
    <w:lvl w:ilvl="0" w:tplc="867CD86E">
      <w:numFmt w:val="bullet"/>
      <w:lvlText w:val="•"/>
      <w:lvlJc w:val="left"/>
      <w:pPr>
        <w:ind w:left="1080" w:hanging="360"/>
      </w:pPr>
      <w:rPr>
        <w:rFonts w:ascii="Arial" w:eastAsia="Calibr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5D4D19ED"/>
    <w:multiLevelType w:val="hybridMultilevel"/>
    <w:tmpl w:val="BA54AE86"/>
    <w:lvl w:ilvl="0" w:tplc="BC50D8CE">
      <w:start w:val="1"/>
      <w:numFmt w:val="decimal"/>
      <w:pStyle w:val="Numberedlist1"/>
      <w:lvlText w:val="%1"/>
      <w:lvlJc w:val="left"/>
      <w:pPr>
        <w:ind w:left="284" w:hanging="284"/>
      </w:pPr>
      <w:rPr>
        <w:rFonts w:hint="default"/>
        <w:b/>
        <w:i w:val="0"/>
        <w:color w:val="007769" w:themeColor="accent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170C4D"/>
    <w:multiLevelType w:val="hybridMultilevel"/>
    <w:tmpl w:val="307418DE"/>
    <w:lvl w:ilvl="0" w:tplc="C5B40100">
      <w:start w:val="1"/>
      <w:numFmt w:val="bullet"/>
      <w:pStyle w:val="Featureboxsub-bulletsAHURI"/>
      <w:lvlText w:val=""/>
      <w:lvlJc w:val="left"/>
      <w:pPr>
        <w:ind w:left="284" w:firstLine="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C973D9A"/>
    <w:multiLevelType w:val="hybridMultilevel"/>
    <w:tmpl w:val="EF6EE33C"/>
    <w:lvl w:ilvl="0" w:tplc="55760ABE">
      <w:start w:val="1"/>
      <w:numFmt w:val="lowerLetter"/>
      <w:pStyle w:val="Numberedlist2"/>
      <w:lvlText w:val="%1"/>
      <w:lvlJc w:val="left"/>
      <w:pPr>
        <w:ind w:left="567" w:hanging="283"/>
      </w:pPr>
      <w:rPr>
        <w:rFonts w:hint="default"/>
        <w:b/>
        <w:i w:val="0"/>
        <w:color w:val="001441"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5941247">
    <w:abstractNumId w:val="17"/>
  </w:num>
  <w:num w:numId="2" w16cid:durableId="540898554">
    <w:abstractNumId w:val="22"/>
  </w:num>
  <w:num w:numId="3" w16cid:durableId="1464888094">
    <w:abstractNumId w:val="13"/>
  </w:num>
  <w:num w:numId="4" w16cid:durableId="628635214">
    <w:abstractNumId w:val="14"/>
  </w:num>
  <w:num w:numId="5" w16cid:durableId="39792026">
    <w:abstractNumId w:val="10"/>
  </w:num>
  <w:num w:numId="6" w16cid:durableId="993485187">
    <w:abstractNumId w:val="2"/>
  </w:num>
  <w:num w:numId="7" w16cid:durableId="289017884">
    <w:abstractNumId w:val="18"/>
  </w:num>
  <w:num w:numId="8" w16cid:durableId="1762289182">
    <w:abstractNumId w:val="21"/>
  </w:num>
  <w:num w:numId="9" w16cid:durableId="1751461664">
    <w:abstractNumId w:val="11"/>
  </w:num>
  <w:num w:numId="10" w16cid:durableId="835415700">
    <w:abstractNumId w:val="23"/>
  </w:num>
  <w:num w:numId="11" w16cid:durableId="463427668">
    <w:abstractNumId w:val="21"/>
    <w:lvlOverride w:ilvl="0">
      <w:startOverride w:val="1"/>
    </w:lvlOverride>
  </w:num>
  <w:num w:numId="12" w16cid:durableId="952901040">
    <w:abstractNumId w:val="5"/>
  </w:num>
  <w:num w:numId="13" w16cid:durableId="1756441594">
    <w:abstractNumId w:val="8"/>
  </w:num>
  <w:num w:numId="14" w16cid:durableId="1975065858">
    <w:abstractNumId w:val="4"/>
  </w:num>
  <w:num w:numId="15" w16cid:durableId="520047912">
    <w:abstractNumId w:val="19"/>
  </w:num>
  <w:num w:numId="16" w16cid:durableId="873887975">
    <w:abstractNumId w:val="1"/>
    <w:lvlOverride w:ilvl="0">
      <w:startOverride w:val="1"/>
    </w:lvlOverride>
  </w:num>
  <w:num w:numId="17" w16cid:durableId="1659994062">
    <w:abstractNumId w:val="3"/>
  </w:num>
  <w:num w:numId="18" w16cid:durableId="777480642">
    <w:abstractNumId w:val="7"/>
  </w:num>
  <w:num w:numId="19" w16cid:durableId="20979213">
    <w:abstractNumId w:val="6"/>
  </w:num>
  <w:num w:numId="20" w16cid:durableId="1029338746">
    <w:abstractNumId w:val="20"/>
  </w:num>
  <w:num w:numId="21" w16cid:durableId="1180893697">
    <w:abstractNumId w:val="9"/>
  </w:num>
  <w:num w:numId="22" w16cid:durableId="943613083">
    <w:abstractNumId w:val="12"/>
  </w:num>
  <w:num w:numId="23" w16cid:durableId="1239973200">
    <w:abstractNumId w:val="16"/>
  </w:num>
  <w:num w:numId="24" w16cid:durableId="827089076">
    <w:abstractNumId w:val="15"/>
  </w:num>
  <w:num w:numId="25" w16cid:durableId="1896164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200"/>
    <w:rsid w:val="000064D0"/>
    <w:rsid w:val="00027AD7"/>
    <w:rsid w:val="00035FF1"/>
    <w:rsid w:val="00052729"/>
    <w:rsid w:val="000562F6"/>
    <w:rsid w:val="000574AD"/>
    <w:rsid w:val="00061928"/>
    <w:rsid w:val="00063E9F"/>
    <w:rsid w:val="00064891"/>
    <w:rsid w:val="00066D3A"/>
    <w:rsid w:val="000767EA"/>
    <w:rsid w:val="000930E2"/>
    <w:rsid w:val="000B76FD"/>
    <w:rsid w:val="000B7E36"/>
    <w:rsid w:val="000C0FE1"/>
    <w:rsid w:val="000C19DE"/>
    <w:rsid w:val="000D21A2"/>
    <w:rsid w:val="000D6D7F"/>
    <w:rsid w:val="000D7541"/>
    <w:rsid w:val="000D75C1"/>
    <w:rsid w:val="000E2B0D"/>
    <w:rsid w:val="000F07DA"/>
    <w:rsid w:val="00101C74"/>
    <w:rsid w:val="001062D9"/>
    <w:rsid w:val="00106F9B"/>
    <w:rsid w:val="00110141"/>
    <w:rsid w:val="001207EE"/>
    <w:rsid w:val="00127863"/>
    <w:rsid w:val="001348C7"/>
    <w:rsid w:val="00135797"/>
    <w:rsid w:val="00136951"/>
    <w:rsid w:val="00140D11"/>
    <w:rsid w:val="001439F7"/>
    <w:rsid w:val="0014567A"/>
    <w:rsid w:val="00155331"/>
    <w:rsid w:val="00196648"/>
    <w:rsid w:val="001A5F7D"/>
    <w:rsid w:val="001B2EBD"/>
    <w:rsid w:val="001B3B22"/>
    <w:rsid w:val="001C4F2C"/>
    <w:rsid w:val="001D7596"/>
    <w:rsid w:val="001E3DEE"/>
    <w:rsid w:val="001E4211"/>
    <w:rsid w:val="001F05C9"/>
    <w:rsid w:val="001F5B46"/>
    <w:rsid w:val="001F74F9"/>
    <w:rsid w:val="0020015A"/>
    <w:rsid w:val="00200ACA"/>
    <w:rsid w:val="00212FC9"/>
    <w:rsid w:val="0022203F"/>
    <w:rsid w:val="00223179"/>
    <w:rsid w:val="00233657"/>
    <w:rsid w:val="002339E1"/>
    <w:rsid w:val="002412AA"/>
    <w:rsid w:val="0024322C"/>
    <w:rsid w:val="00254279"/>
    <w:rsid w:val="00257175"/>
    <w:rsid w:val="00262F2D"/>
    <w:rsid w:val="0027270C"/>
    <w:rsid w:val="00272BA7"/>
    <w:rsid w:val="00282B32"/>
    <w:rsid w:val="002854E1"/>
    <w:rsid w:val="002A0DB6"/>
    <w:rsid w:val="002A405D"/>
    <w:rsid w:val="002A4BFD"/>
    <w:rsid w:val="002A63E9"/>
    <w:rsid w:val="002B10A4"/>
    <w:rsid w:val="002B1FEF"/>
    <w:rsid w:val="002C17CF"/>
    <w:rsid w:val="002C359D"/>
    <w:rsid w:val="002C6651"/>
    <w:rsid w:val="002D1986"/>
    <w:rsid w:val="002D2C82"/>
    <w:rsid w:val="002D2FDC"/>
    <w:rsid w:val="002D6F9F"/>
    <w:rsid w:val="002E2DF8"/>
    <w:rsid w:val="002E348B"/>
    <w:rsid w:val="002F387D"/>
    <w:rsid w:val="002F786C"/>
    <w:rsid w:val="00306415"/>
    <w:rsid w:val="003166C7"/>
    <w:rsid w:val="00332928"/>
    <w:rsid w:val="00336CB3"/>
    <w:rsid w:val="0034645B"/>
    <w:rsid w:val="003513FB"/>
    <w:rsid w:val="003544D8"/>
    <w:rsid w:val="003639F1"/>
    <w:rsid w:val="00364B5B"/>
    <w:rsid w:val="003739D3"/>
    <w:rsid w:val="0038397A"/>
    <w:rsid w:val="00394B42"/>
    <w:rsid w:val="003A08E7"/>
    <w:rsid w:val="003A3244"/>
    <w:rsid w:val="003B36FF"/>
    <w:rsid w:val="003B57A3"/>
    <w:rsid w:val="003D6E49"/>
    <w:rsid w:val="003E14BA"/>
    <w:rsid w:val="003F1886"/>
    <w:rsid w:val="003F1D3C"/>
    <w:rsid w:val="003F2BDA"/>
    <w:rsid w:val="0040052F"/>
    <w:rsid w:val="0041261F"/>
    <w:rsid w:val="004169AA"/>
    <w:rsid w:val="00432A91"/>
    <w:rsid w:val="00457A3A"/>
    <w:rsid w:val="004800A8"/>
    <w:rsid w:val="004B3E32"/>
    <w:rsid w:val="004E4D68"/>
    <w:rsid w:val="004F19BE"/>
    <w:rsid w:val="00500C5E"/>
    <w:rsid w:val="00503EB8"/>
    <w:rsid w:val="005155BB"/>
    <w:rsid w:val="00527EC7"/>
    <w:rsid w:val="00537380"/>
    <w:rsid w:val="005402F7"/>
    <w:rsid w:val="005463F1"/>
    <w:rsid w:val="00546D3C"/>
    <w:rsid w:val="0055380C"/>
    <w:rsid w:val="005766E8"/>
    <w:rsid w:val="00576775"/>
    <w:rsid w:val="00577C8C"/>
    <w:rsid w:val="00583350"/>
    <w:rsid w:val="00584347"/>
    <w:rsid w:val="005854E9"/>
    <w:rsid w:val="00586AF6"/>
    <w:rsid w:val="00586E84"/>
    <w:rsid w:val="00596F07"/>
    <w:rsid w:val="005A1071"/>
    <w:rsid w:val="005A3DB6"/>
    <w:rsid w:val="005A6367"/>
    <w:rsid w:val="005B2382"/>
    <w:rsid w:val="005C1248"/>
    <w:rsid w:val="005D21D7"/>
    <w:rsid w:val="005E13C4"/>
    <w:rsid w:val="00606DC2"/>
    <w:rsid w:val="006214A9"/>
    <w:rsid w:val="0063511C"/>
    <w:rsid w:val="00647618"/>
    <w:rsid w:val="00663C2F"/>
    <w:rsid w:val="006804AD"/>
    <w:rsid w:val="00681966"/>
    <w:rsid w:val="006838ED"/>
    <w:rsid w:val="006944E0"/>
    <w:rsid w:val="00694E33"/>
    <w:rsid w:val="006A2ED2"/>
    <w:rsid w:val="006B5881"/>
    <w:rsid w:val="006B659E"/>
    <w:rsid w:val="006C72A6"/>
    <w:rsid w:val="006D2DEE"/>
    <w:rsid w:val="006E3C85"/>
    <w:rsid w:val="006E54B1"/>
    <w:rsid w:val="006E58F2"/>
    <w:rsid w:val="00705380"/>
    <w:rsid w:val="00706F27"/>
    <w:rsid w:val="00713D03"/>
    <w:rsid w:val="00716CB4"/>
    <w:rsid w:val="007228B3"/>
    <w:rsid w:val="00722DC6"/>
    <w:rsid w:val="00724743"/>
    <w:rsid w:val="0073493D"/>
    <w:rsid w:val="007403A5"/>
    <w:rsid w:val="00752B49"/>
    <w:rsid w:val="0075347C"/>
    <w:rsid w:val="00753987"/>
    <w:rsid w:val="0075488A"/>
    <w:rsid w:val="0075553E"/>
    <w:rsid w:val="00757A8C"/>
    <w:rsid w:val="00772E84"/>
    <w:rsid w:val="00790FB0"/>
    <w:rsid w:val="007929BA"/>
    <w:rsid w:val="007C3BD7"/>
    <w:rsid w:val="007E1B15"/>
    <w:rsid w:val="00805322"/>
    <w:rsid w:val="0080595C"/>
    <w:rsid w:val="00806197"/>
    <w:rsid w:val="00807CAF"/>
    <w:rsid w:val="00823E89"/>
    <w:rsid w:val="00826CB7"/>
    <w:rsid w:val="008318D7"/>
    <w:rsid w:val="0083716C"/>
    <w:rsid w:val="00844190"/>
    <w:rsid w:val="00850CFA"/>
    <w:rsid w:val="00857FDD"/>
    <w:rsid w:val="00870960"/>
    <w:rsid w:val="00874A97"/>
    <w:rsid w:val="00884EAA"/>
    <w:rsid w:val="0089446C"/>
    <w:rsid w:val="008A48A9"/>
    <w:rsid w:val="008A5ABD"/>
    <w:rsid w:val="008A653B"/>
    <w:rsid w:val="008B40F5"/>
    <w:rsid w:val="008C5851"/>
    <w:rsid w:val="008D0A19"/>
    <w:rsid w:val="008D638F"/>
    <w:rsid w:val="008E19FA"/>
    <w:rsid w:val="008E266E"/>
    <w:rsid w:val="00902F03"/>
    <w:rsid w:val="00903503"/>
    <w:rsid w:val="00904B99"/>
    <w:rsid w:val="009135B9"/>
    <w:rsid w:val="00914518"/>
    <w:rsid w:val="0091652A"/>
    <w:rsid w:val="00920182"/>
    <w:rsid w:val="00924AC0"/>
    <w:rsid w:val="00943326"/>
    <w:rsid w:val="00956743"/>
    <w:rsid w:val="0096248D"/>
    <w:rsid w:val="009709B7"/>
    <w:rsid w:val="0097136D"/>
    <w:rsid w:val="00995F89"/>
    <w:rsid w:val="009A020A"/>
    <w:rsid w:val="009D1286"/>
    <w:rsid w:val="009D31F9"/>
    <w:rsid w:val="009D4462"/>
    <w:rsid w:val="009E30D6"/>
    <w:rsid w:val="009E5A15"/>
    <w:rsid w:val="009E6B2A"/>
    <w:rsid w:val="009F72A2"/>
    <w:rsid w:val="00A0148D"/>
    <w:rsid w:val="00A07B61"/>
    <w:rsid w:val="00A47F72"/>
    <w:rsid w:val="00A65D14"/>
    <w:rsid w:val="00A66C5F"/>
    <w:rsid w:val="00A713C6"/>
    <w:rsid w:val="00A7228A"/>
    <w:rsid w:val="00A81117"/>
    <w:rsid w:val="00A97476"/>
    <w:rsid w:val="00AB6052"/>
    <w:rsid w:val="00AC1DE5"/>
    <w:rsid w:val="00AC7F42"/>
    <w:rsid w:val="00AF0283"/>
    <w:rsid w:val="00AF14A4"/>
    <w:rsid w:val="00AF6459"/>
    <w:rsid w:val="00B013E1"/>
    <w:rsid w:val="00B31376"/>
    <w:rsid w:val="00B35BCE"/>
    <w:rsid w:val="00B42D36"/>
    <w:rsid w:val="00B42DF6"/>
    <w:rsid w:val="00B5267E"/>
    <w:rsid w:val="00B7010A"/>
    <w:rsid w:val="00B74F65"/>
    <w:rsid w:val="00B90CC9"/>
    <w:rsid w:val="00BA6977"/>
    <w:rsid w:val="00BB5FD7"/>
    <w:rsid w:val="00BC39A0"/>
    <w:rsid w:val="00BC6DC4"/>
    <w:rsid w:val="00BD16CD"/>
    <w:rsid w:val="00BD19F2"/>
    <w:rsid w:val="00BD63A6"/>
    <w:rsid w:val="00BE2344"/>
    <w:rsid w:val="00BE6558"/>
    <w:rsid w:val="00BE6B7C"/>
    <w:rsid w:val="00BF367C"/>
    <w:rsid w:val="00BF4005"/>
    <w:rsid w:val="00BF78FA"/>
    <w:rsid w:val="00C11A58"/>
    <w:rsid w:val="00C15CE7"/>
    <w:rsid w:val="00C23FD1"/>
    <w:rsid w:val="00C302B5"/>
    <w:rsid w:val="00C30CA7"/>
    <w:rsid w:val="00C30E8A"/>
    <w:rsid w:val="00C32B31"/>
    <w:rsid w:val="00C343EF"/>
    <w:rsid w:val="00C373B2"/>
    <w:rsid w:val="00C477D4"/>
    <w:rsid w:val="00C629CA"/>
    <w:rsid w:val="00C62F24"/>
    <w:rsid w:val="00C648B0"/>
    <w:rsid w:val="00C74FF3"/>
    <w:rsid w:val="00C7623E"/>
    <w:rsid w:val="00C77CC5"/>
    <w:rsid w:val="00C91940"/>
    <w:rsid w:val="00CA09C4"/>
    <w:rsid w:val="00CA1437"/>
    <w:rsid w:val="00CB2274"/>
    <w:rsid w:val="00CB73E1"/>
    <w:rsid w:val="00CC621C"/>
    <w:rsid w:val="00CD4712"/>
    <w:rsid w:val="00CF2DC5"/>
    <w:rsid w:val="00D06526"/>
    <w:rsid w:val="00D122D7"/>
    <w:rsid w:val="00D15E4C"/>
    <w:rsid w:val="00D2168C"/>
    <w:rsid w:val="00D220E3"/>
    <w:rsid w:val="00D309F8"/>
    <w:rsid w:val="00D317B3"/>
    <w:rsid w:val="00D341E0"/>
    <w:rsid w:val="00D765A7"/>
    <w:rsid w:val="00D770CE"/>
    <w:rsid w:val="00D8290E"/>
    <w:rsid w:val="00D83EC8"/>
    <w:rsid w:val="00D903AD"/>
    <w:rsid w:val="00D942E4"/>
    <w:rsid w:val="00DB5227"/>
    <w:rsid w:val="00DB700B"/>
    <w:rsid w:val="00DC543A"/>
    <w:rsid w:val="00DC5804"/>
    <w:rsid w:val="00DC6581"/>
    <w:rsid w:val="00DC6DF7"/>
    <w:rsid w:val="00DD10F2"/>
    <w:rsid w:val="00DD706E"/>
    <w:rsid w:val="00E0718A"/>
    <w:rsid w:val="00E1293B"/>
    <w:rsid w:val="00E13746"/>
    <w:rsid w:val="00E13772"/>
    <w:rsid w:val="00E1482E"/>
    <w:rsid w:val="00E27894"/>
    <w:rsid w:val="00E30B53"/>
    <w:rsid w:val="00E3414D"/>
    <w:rsid w:val="00E805ED"/>
    <w:rsid w:val="00E8644A"/>
    <w:rsid w:val="00EB5126"/>
    <w:rsid w:val="00EB7821"/>
    <w:rsid w:val="00EC373A"/>
    <w:rsid w:val="00ED5A8A"/>
    <w:rsid w:val="00EE4F5E"/>
    <w:rsid w:val="00EF12EB"/>
    <w:rsid w:val="00EF25EC"/>
    <w:rsid w:val="00EF3668"/>
    <w:rsid w:val="00F01F75"/>
    <w:rsid w:val="00F0219B"/>
    <w:rsid w:val="00F04517"/>
    <w:rsid w:val="00F04B61"/>
    <w:rsid w:val="00F07F5A"/>
    <w:rsid w:val="00F13727"/>
    <w:rsid w:val="00F20A54"/>
    <w:rsid w:val="00F213B9"/>
    <w:rsid w:val="00F21A3F"/>
    <w:rsid w:val="00F24F20"/>
    <w:rsid w:val="00F42E00"/>
    <w:rsid w:val="00F44D7B"/>
    <w:rsid w:val="00F50DAD"/>
    <w:rsid w:val="00F542FB"/>
    <w:rsid w:val="00F6096D"/>
    <w:rsid w:val="00F641C8"/>
    <w:rsid w:val="00F66F64"/>
    <w:rsid w:val="00F73E59"/>
    <w:rsid w:val="00F969EC"/>
    <w:rsid w:val="00FA0010"/>
    <w:rsid w:val="00FA09BE"/>
    <w:rsid w:val="00FA29AD"/>
    <w:rsid w:val="00FA3B1D"/>
    <w:rsid w:val="00FC0447"/>
    <w:rsid w:val="00FC2200"/>
    <w:rsid w:val="00FD11F3"/>
    <w:rsid w:val="00FD15EB"/>
    <w:rsid w:val="00FD7337"/>
    <w:rsid w:val="00FF3B31"/>
    <w:rsid w:val="033E0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916A0"/>
  <w14:defaultImageDpi w14:val="32767"/>
  <w15:chartTrackingRefBased/>
  <w15:docId w15:val="{D508786F-CCB2-4E80-A095-593A7E0BF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A0010"/>
    <w:pPr>
      <w:tabs>
        <w:tab w:val="left" w:pos="284"/>
        <w:tab w:val="left" w:pos="567"/>
        <w:tab w:val="left" w:pos="851"/>
      </w:tabs>
      <w:spacing w:after="120" w:line="260" w:lineRule="exact"/>
    </w:pPr>
    <w:rPr>
      <w:color w:val="000000" w:themeColor="text2"/>
      <w:sz w:val="20"/>
    </w:rPr>
  </w:style>
  <w:style w:type="paragraph" w:styleId="Heading1">
    <w:name w:val="heading 1"/>
    <w:basedOn w:val="Normal"/>
    <w:next w:val="Normal"/>
    <w:link w:val="Heading1Char"/>
    <w:uiPriority w:val="9"/>
    <w:qFormat/>
    <w:rsid w:val="00BA6977"/>
    <w:pPr>
      <w:keepNext/>
      <w:keepLines/>
      <w:pageBreakBefore/>
      <w:spacing w:after="720" w:line="264" w:lineRule="auto"/>
      <w:outlineLvl w:val="0"/>
    </w:pPr>
    <w:rPr>
      <w:rFonts w:asciiTheme="majorHAnsi" w:eastAsiaTheme="majorEastAsia" w:hAnsiTheme="majorHAnsi" w:cstheme="majorBidi"/>
      <w:b/>
      <w:color w:val="CC614D" w:themeColor="accent1"/>
      <w:sz w:val="44"/>
      <w:szCs w:val="40"/>
    </w:rPr>
  </w:style>
  <w:style w:type="paragraph" w:styleId="Heading2">
    <w:name w:val="heading 2"/>
    <w:basedOn w:val="Normal"/>
    <w:next w:val="Normal"/>
    <w:link w:val="Heading2Char"/>
    <w:uiPriority w:val="9"/>
    <w:unhideWhenUsed/>
    <w:qFormat/>
    <w:rsid w:val="005402F7"/>
    <w:pPr>
      <w:keepNext/>
      <w:keepLines/>
      <w:spacing w:before="360" w:after="240" w:line="360" w:lineRule="exact"/>
      <w:outlineLvl w:val="1"/>
    </w:pPr>
    <w:rPr>
      <w:rFonts w:asciiTheme="majorHAnsi" w:eastAsiaTheme="majorEastAsia" w:hAnsiTheme="majorHAnsi" w:cstheme="majorBidi"/>
      <w:b/>
      <w:color w:val="661230" w:themeColor="accent2"/>
      <w:sz w:val="28"/>
      <w:szCs w:val="32"/>
    </w:rPr>
  </w:style>
  <w:style w:type="paragraph" w:styleId="Heading3">
    <w:name w:val="heading 3"/>
    <w:basedOn w:val="Normal"/>
    <w:next w:val="Normal"/>
    <w:link w:val="Heading3Char"/>
    <w:uiPriority w:val="9"/>
    <w:unhideWhenUsed/>
    <w:qFormat/>
    <w:rsid w:val="002412AA"/>
    <w:pPr>
      <w:keepNext/>
      <w:keepLines/>
      <w:spacing w:before="240" w:line="288" w:lineRule="auto"/>
      <w:outlineLvl w:val="2"/>
    </w:pPr>
    <w:rPr>
      <w:rFonts w:eastAsiaTheme="majorEastAsia" w:cstheme="majorBidi"/>
      <w:b/>
      <w:color w:val="BF0D3E" w:themeColor="accent3"/>
      <w:sz w:val="22"/>
      <w:szCs w:val="28"/>
    </w:rPr>
  </w:style>
  <w:style w:type="paragraph" w:styleId="Heading4">
    <w:name w:val="heading 4"/>
    <w:basedOn w:val="Normal"/>
    <w:next w:val="Normal"/>
    <w:link w:val="Heading4Char"/>
    <w:uiPriority w:val="9"/>
    <w:unhideWhenUsed/>
    <w:qFormat/>
    <w:rsid w:val="002A4BFD"/>
    <w:pPr>
      <w:keepNext/>
      <w:keepLines/>
      <w:spacing w:before="120" w:after="60"/>
      <w:outlineLvl w:val="3"/>
    </w:pPr>
    <w:rPr>
      <w:rFonts w:asciiTheme="majorHAnsi" w:eastAsiaTheme="majorEastAsia" w:hAnsiTheme="majorHAnsi" w:cstheme="majorBidi"/>
      <w:b/>
      <w:iCs/>
      <w:color w:val="001441" w:themeColor="text1"/>
    </w:rPr>
  </w:style>
  <w:style w:type="paragraph" w:styleId="Heading5">
    <w:name w:val="heading 5"/>
    <w:basedOn w:val="Normal"/>
    <w:next w:val="Normal"/>
    <w:link w:val="Heading5Char"/>
    <w:uiPriority w:val="9"/>
    <w:semiHidden/>
    <w:unhideWhenUsed/>
    <w:qFormat/>
    <w:rsid w:val="00596F07"/>
    <w:pPr>
      <w:keepNext/>
      <w:keepLines/>
      <w:spacing w:before="80" w:after="40"/>
      <w:outlineLvl w:val="4"/>
    </w:pPr>
    <w:rPr>
      <w:rFonts w:eastAsiaTheme="majorEastAsia" w:cstheme="majorBidi"/>
      <w:color w:val="A3412F" w:themeColor="accent1" w:themeShade="BF"/>
    </w:rPr>
  </w:style>
  <w:style w:type="paragraph" w:styleId="Heading6">
    <w:name w:val="heading 6"/>
    <w:basedOn w:val="Normal"/>
    <w:next w:val="Normal"/>
    <w:link w:val="Heading6Char"/>
    <w:uiPriority w:val="9"/>
    <w:semiHidden/>
    <w:unhideWhenUsed/>
    <w:qFormat/>
    <w:rsid w:val="00596F07"/>
    <w:pPr>
      <w:keepNext/>
      <w:keepLines/>
      <w:spacing w:before="40"/>
      <w:outlineLvl w:val="5"/>
    </w:pPr>
    <w:rPr>
      <w:rFonts w:eastAsiaTheme="majorEastAsia" w:cstheme="majorBidi"/>
      <w:i/>
      <w:iCs/>
      <w:color w:val="0043DC" w:themeColor="text1" w:themeTint="A6"/>
    </w:rPr>
  </w:style>
  <w:style w:type="paragraph" w:styleId="Heading7">
    <w:name w:val="heading 7"/>
    <w:basedOn w:val="Normal"/>
    <w:next w:val="Normal"/>
    <w:link w:val="Heading7Char"/>
    <w:uiPriority w:val="9"/>
    <w:semiHidden/>
    <w:unhideWhenUsed/>
    <w:qFormat/>
    <w:rsid w:val="00596F07"/>
    <w:pPr>
      <w:keepNext/>
      <w:keepLines/>
      <w:spacing w:before="40"/>
      <w:outlineLvl w:val="6"/>
    </w:pPr>
    <w:rPr>
      <w:rFonts w:eastAsiaTheme="majorEastAsia" w:cstheme="majorBidi"/>
      <w:color w:val="0043DC" w:themeColor="text1" w:themeTint="A6"/>
    </w:rPr>
  </w:style>
  <w:style w:type="paragraph" w:styleId="Heading8">
    <w:name w:val="heading 8"/>
    <w:basedOn w:val="Normal"/>
    <w:next w:val="Normal"/>
    <w:link w:val="Heading8Char"/>
    <w:uiPriority w:val="9"/>
    <w:semiHidden/>
    <w:unhideWhenUsed/>
    <w:qFormat/>
    <w:rsid w:val="00596F07"/>
    <w:pPr>
      <w:keepNext/>
      <w:keepLines/>
      <w:outlineLvl w:val="7"/>
    </w:pPr>
    <w:rPr>
      <w:rFonts w:eastAsiaTheme="majorEastAsia" w:cstheme="majorBidi"/>
      <w:i/>
      <w:iCs/>
      <w:color w:val="002885" w:themeColor="text1" w:themeTint="D8"/>
    </w:rPr>
  </w:style>
  <w:style w:type="paragraph" w:styleId="Heading9">
    <w:name w:val="heading 9"/>
    <w:basedOn w:val="Normal"/>
    <w:next w:val="Normal"/>
    <w:link w:val="Heading9Char"/>
    <w:uiPriority w:val="9"/>
    <w:semiHidden/>
    <w:unhideWhenUsed/>
    <w:qFormat/>
    <w:rsid w:val="00596F07"/>
    <w:pPr>
      <w:keepNext/>
      <w:keepLines/>
      <w:outlineLvl w:val="8"/>
    </w:pPr>
    <w:rPr>
      <w:rFonts w:eastAsiaTheme="majorEastAsia" w:cstheme="majorBidi"/>
      <w:color w:val="002885"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CCHOtext">
    <w:name w:val="NACCHO text"/>
    <w:basedOn w:val="Normal"/>
    <w:qFormat/>
    <w:rsid w:val="00503EB8"/>
    <w:pPr>
      <w:spacing w:before="120" w:after="240"/>
    </w:pPr>
    <w:rPr>
      <w:lang w:val="en-AU"/>
    </w:rPr>
  </w:style>
  <w:style w:type="paragraph" w:customStyle="1" w:styleId="Featureboxsub-bulletAHURI">
    <w:name w:val="Feature box sub-bullet (AHURI)"/>
    <w:uiPriority w:val="35"/>
    <w:qFormat/>
    <w:rsid w:val="000562F6"/>
    <w:pPr>
      <w:numPr>
        <w:numId w:val="1"/>
      </w:numPr>
      <w:tabs>
        <w:tab w:val="left" w:pos="284"/>
        <w:tab w:val="left" w:pos="851"/>
      </w:tabs>
      <w:spacing w:after="180" w:line="260" w:lineRule="exact"/>
    </w:pPr>
    <w:rPr>
      <w:rFonts w:ascii="Georgia" w:eastAsiaTheme="minorEastAsia" w:hAnsi="Georgia"/>
      <w:sz w:val="20"/>
      <w:szCs w:val="18"/>
      <w:lang w:val="en-AU" w:eastAsia="ja-JP"/>
    </w:rPr>
  </w:style>
  <w:style w:type="paragraph" w:customStyle="1" w:styleId="Featureboxsub-bulletsAHURI">
    <w:name w:val="Feature box sub-bullets (AHURI)"/>
    <w:basedOn w:val="Normal"/>
    <w:uiPriority w:val="35"/>
    <w:qFormat/>
    <w:rsid w:val="000562F6"/>
    <w:pPr>
      <w:numPr>
        <w:numId w:val="2"/>
      </w:numPr>
      <w:pBdr>
        <w:top w:val="single" w:sz="4" w:space="5" w:color="auto"/>
        <w:bottom w:val="single" w:sz="4" w:space="8" w:color="auto"/>
      </w:pBdr>
      <w:spacing w:after="180"/>
    </w:pPr>
    <w:rPr>
      <w:rFonts w:ascii="Georgia" w:eastAsiaTheme="minorEastAsia" w:hAnsi="Georgia" w:cs="Times New Roman (Body CS)"/>
      <w:szCs w:val="18"/>
      <w:lang w:val="en-AU" w:eastAsia="ja-JP"/>
    </w:rPr>
  </w:style>
  <w:style w:type="paragraph" w:customStyle="1" w:styleId="Summarytexthighlights14pt">
    <w:name w:val="Summary text highlights (14pt)"/>
    <w:basedOn w:val="Normal"/>
    <w:qFormat/>
    <w:rsid w:val="007C3BD7"/>
    <w:pPr>
      <w:snapToGrid w:val="0"/>
      <w:spacing w:line="320" w:lineRule="exact"/>
    </w:pPr>
    <w:rPr>
      <w:rFonts w:ascii="Arial" w:hAnsi="Arial"/>
      <w:color w:val="CC614D" w:themeColor="accent1"/>
      <w:kern w:val="0"/>
      <w:sz w:val="28"/>
      <w14:ligatures w14:val="none"/>
    </w:rPr>
  </w:style>
  <w:style w:type="character" w:styleId="Strong">
    <w:name w:val="Strong"/>
    <w:basedOn w:val="DefaultParagraphFont"/>
    <w:uiPriority w:val="22"/>
    <w:qFormat/>
    <w:rsid w:val="00874A97"/>
    <w:rPr>
      <w:b/>
      <w:bCs/>
    </w:rPr>
  </w:style>
  <w:style w:type="character" w:customStyle="1" w:styleId="Heading1Char">
    <w:name w:val="Heading 1 Char"/>
    <w:basedOn w:val="DefaultParagraphFont"/>
    <w:link w:val="Heading1"/>
    <w:uiPriority w:val="9"/>
    <w:rsid w:val="00BA6977"/>
    <w:rPr>
      <w:rFonts w:asciiTheme="majorHAnsi" w:eastAsiaTheme="majorEastAsia" w:hAnsiTheme="majorHAnsi" w:cstheme="majorBidi"/>
      <w:b/>
      <w:color w:val="CC614D" w:themeColor="accent1"/>
      <w:sz w:val="44"/>
      <w:szCs w:val="40"/>
    </w:rPr>
  </w:style>
  <w:style w:type="character" w:customStyle="1" w:styleId="Heading2Char">
    <w:name w:val="Heading 2 Char"/>
    <w:basedOn w:val="DefaultParagraphFont"/>
    <w:link w:val="Heading2"/>
    <w:uiPriority w:val="9"/>
    <w:rsid w:val="00EC373A"/>
    <w:rPr>
      <w:rFonts w:asciiTheme="majorHAnsi" w:eastAsiaTheme="majorEastAsia" w:hAnsiTheme="majorHAnsi" w:cstheme="majorBidi"/>
      <w:b/>
      <w:color w:val="661230" w:themeColor="accent2"/>
      <w:sz w:val="28"/>
      <w:szCs w:val="32"/>
    </w:rPr>
  </w:style>
  <w:style w:type="character" w:customStyle="1" w:styleId="Heading3Char">
    <w:name w:val="Heading 3 Char"/>
    <w:basedOn w:val="DefaultParagraphFont"/>
    <w:link w:val="Heading3"/>
    <w:uiPriority w:val="9"/>
    <w:rsid w:val="002412AA"/>
    <w:rPr>
      <w:rFonts w:eastAsiaTheme="majorEastAsia" w:cstheme="majorBidi"/>
      <w:b/>
      <w:color w:val="BF0D3E" w:themeColor="accent3"/>
      <w:sz w:val="22"/>
      <w:szCs w:val="28"/>
    </w:rPr>
  </w:style>
  <w:style w:type="character" w:customStyle="1" w:styleId="Heading4Char">
    <w:name w:val="Heading 4 Char"/>
    <w:basedOn w:val="DefaultParagraphFont"/>
    <w:link w:val="Heading4"/>
    <w:uiPriority w:val="9"/>
    <w:rsid w:val="00BD16CD"/>
    <w:rPr>
      <w:rFonts w:asciiTheme="majorHAnsi" w:eastAsiaTheme="majorEastAsia" w:hAnsiTheme="majorHAnsi" w:cstheme="majorBidi"/>
      <w:b/>
      <w:iCs/>
      <w:color w:val="001441" w:themeColor="text1"/>
      <w:sz w:val="20"/>
    </w:rPr>
  </w:style>
  <w:style w:type="character" w:customStyle="1" w:styleId="Heading5Char">
    <w:name w:val="Heading 5 Char"/>
    <w:basedOn w:val="DefaultParagraphFont"/>
    <w:link w:val="Heading5"/>
    <w:uiPriority w:val="9"/>
    <w:semiHidden/>
    <w:rsid w:val="00596F07"/>
    <w:rPr>
      <w:rFonts w:eastAsiaTheme="majorEastAsia" w:cstheme="majorBidi"/>
      <w:color w:val="A3412F" w:themeColor="accent1" w:themeShade="BF"/>
    </w:rPr>
  </w:style>
  <w:style w:type="character" w:customStyle="1" w:styleId="Heading6Char">
    <w:name w:val="Heading 6 Char"/>
    <w:basedOn w:val="DefaultParagraphFont"/>
    <w:link w:val="Heading6"/>
    <w:uiPriority w:val="9"/>
    <w:semiHidden/>
    <w:rsid w:val="00596F07"/>
    <w:rPr>
      <w:rFonts w:eastAsiaTheme="majorEastAsia" w:cstheme="majorBidi"/>
      <w:i/>
      <w:iCs/>
      <w:color w:val="0043DC" w:themeColor="text1" w:themeTint="A6"/>
    </w:rPr>
  </w:style>
  <w:style w:type="character" w:customStyle="1" w:styleId="Heading7Char">
    <w:name w:val="Heading 7 Char"/>
    <w:basedOn w:val="DefaultParagraphFont"/>
    <w:link w:val="Heading7"/>
    <w:uiPriority w:val="9"/>
    <w:semiHidden/>
    <w:rsid w:val="00596F07"/>
    <w:rPr>
      <w:rFonts w:eastAsiaTheme="majorEastAsia" w:cstheme="majorBidi"/>
      <w:color w:val="0043DC" w:themeColor="text1" w:themeTint="A6"/>
    </w:rPr>
  </w:style>
  <w:style w:type="character" w:customStyle="1" w:styleId="Heading8Char">
    <w:name w:val="Heading 8 Char"/>
    <w:basedOn w:val="DefaultParagraphFont"/>
    <w:link w:val="Heading8"/>
    <w:uiPriority w:val="9"/>
    <w:semiHidden/>
    <w:rsid w:val="00596F07"/>
    <w:rPr>
      <w:rFonts w:eastAsiaTheme="majorEastAsia" w:cstheme="majorBidi"/>
      <w:i/>
      <w:iCs/>
      <w:color w:val="002885" w:themeColor="text1" w:themeTint="D8"/>
    </w:rPr>
  </w:style>
  <w:style w:type="character" w:customStyle="1" w:styleId="Heading9Char">
    <w:name w:val="Heading 9 Char"/>
    <w:basedOn w:val="DefaultParagraphFont"/>
    <w:link w:val="Heading9"/>
    <w:uiPriority w:val="9"/>
    <w:semiHidden/>
    <w:rsid w:val="00596F07"/>
    <w:rPr>
      <w:rFonts w:eastAsiaTheme="majorEastAsia" w:cstheme="majorBidi"/>
      <w:color w:val="002885" w:themeColor="text1" w:themeTint="D8"/>
    </w:rPr>
  </w:style>
  <w:style w:type="paragraph" w:styleId="Title">
    <w:name w:val="Title"/>
    <w:basedOn w:val="Heading1"/>
    <w:next w:val="Normal"/>
    <w:link w:val="TitleChar"/>
    <w:uiPriority w:val="10"/>
    <w:qFormat/>
    <w:rsid w:val="00FA0010"/>
    <w:pPr>
      <w:pageBreakBefore w:val="0"/>
      <w:spacing w:after="1200" w:line="216" w:lineRule="auto"/>
      <w:contextualSpacing/>
    </w:pPr>
    <w:rPr>
      <w:rFonts w:cs="Times New Roman (Headings CS)"/>
      <w:color w:val="FFFFFF" w:themeColor="background1"/>
      <w:kern w:val="28"/>
      <w:sz w:val="96"/>
      <w:szCs w:val="56"/>
    </w:rPr>
  </w:style>
  <w:style w:type="character" w:customStyle="1" w:styleId="TitleChar">
    <w:name w:val="Title Char"/>
    <w:basedOn w:val="DefaultParagraphFont"/>
    <w:link w:val="Title"/>
    <w:uiPriority w:val="10"/>
    <w:rsid w:val="00FA0010"/>
    <w:rPr>
      <w:rFonts w:asciiTheme="majorHAnsi" w:eastAsiaTheme="majorEastAsia" w:hAnsiTheme="majorHAnsi" w:cs="Times New Roman (Headings CS)"/>
      <w:b/>
      <w:color w:val="FFFFFF" w:themeColor="background1"/>
      <w:kern w:val="28"/>
      <w:sz w:val="96"/>
      <w:szCs w:val="56"/>
    </w:rPr>
  </w:style>
  <w:style w:type="paragraph" w:styleId="Subtitle">
    <w:name w:val="Subtitle"/>
    <w:basedOn w:val="Normal"/>
    <w:next w:val="Normal"/>
    <w:link w:val="SubtitleChar"/>
    <w:uiPriority w:val="11"/>
    <w:qFormat/>
    <w:rsid w:val="00272BA7"/>
    <w:pPr>
      <w:numPr>
        <w:ilvl w:val="1"/>
      </w:numPr>
      <w:spacing w:before="240" w:after="600" w:line="264" w:lineRule="auto"/>
    </w:pPr>
    <w:rPr>
      <w:rFonts w:eastAsiaTheme="majorEastAsia" w:cs="Times New Roman (Headings CS)"/>
      <w:color w:val="CC614D" w:themeColor="accent1"/>
      <w:sz w:val="40"/>
      <w:szCs w:val="28"/>
    </w:rPr>
  </w:style>
  <w:style w:type="character" w:customStyle="1" w:styleId="SubtitleChar">
    <w:name w:val="Subtitle Char"/>
    <w:basedOn w:val="DefaultParagraphFont"/>
    <w:link w:val="Subtitle"/>
    <w:uiPriority w:val="11"/>
    <w:rsid w:val="00272BA7"/>
    <w:rPr>
      <w:rFonts w:eastAsiaTheme="majorEastAsia" w:cs="Times New Roman (Headings CS)"/>
      <w:color w:val="CC614D" w:themeColor="accent1"/>
      <w:sz w:val="40"/>
      <w:szCs w:val="28"/>
    </w:rPr>
  </w:style>
  <w:style w:type="paragraph" w:styleId="Quote">
    <w:name w:val="Quote"/>
    <w:basedOn w:val="Normal"/>
    <w:next w:val="Normal"/>
    <w:link w:val="QuoteChar"/>
    <w:uiPriority w:val="29"/>
    <w:qFormat/>
    <w:rsid w:val="00596F07"/>
    <w:pPr>
      <w:spacing w:before="160" w:after="160"/>
      <w:jc w:val="center"/>
    </w:pPr>
    <w:rPr>
      <w:i/>
      <w:iCs/>
      <w:color w:val="0036B0" w:themeColor="text1" w:themeTint="BF"/>
    </w:rPr>
  </w:style>
  <w:style w:type="character" w:customStyle="1" w:styleId="QuoteChar">
    <w:name w:val="Quote Char"/>
    <w:basedOn w:val="DefaultParagraphFont"/>
    <w:link w:val="Quote"/>
    <w:uiPriority w:val="29"/>
    <w:rsid w:val="00596F07"/>
    <w:rPr>
      <w:i/>
      <w:iCs/>
      <w:color w:val="0036B0" w:themeColor="text1" w:themeTint="BF"/>
    </w:rPr>
  </w:style>
  <w:style w:type="paragraph" w:styleId="ListParagraph">
    <w:name w:val="List Paragraph"/>
    <w:basedOn w:val="Normal"/>
    <w:qFormat/>
    <w:rsid w:val="00596F07"/>
    <w:pPr>
      <w:ind w:left="720"/>
      <w:contextualSpacing/>
    </w:pPr>
  </w:style>
  <w:style w:type="character" w:styleId="IntenseEmphasis">
    <w:name w:val="Intense Emphasis"/>
    <w:basedOn w:val="DefaultParagraphFont"/>
    <w:uiPriority w:val="21"/>
    <w:qFormat/>
    <w:rsid w:val="00596F07"/>
    <w:rPr>
      <w:i/>
      <w:iCs/>
      <w:color w:val="A3412F" w:themeColor="accent1" w:themeShade="BF"/>
    </w:rPr>
  </w:style>
  <w:style w:type="paragraph" w:styleId="IntenseQuote">
    <w:name w:val="Intense Quote"/>
    <w:basedOn w:val="Normal"/>
    <w:next w:val="Normal"/>
    <w:link w:val="IntenseQuoteChar"/>
    <w:uiPriority w:val="30"/>
    <w:qFormat/>
    <w:rsid w:val="00596F07"/>
    <w:pPr>
      <w:pBdr>
        <w:top w:val="single" w:sz="4" w:space="10" w:color="A3412F" w:themeColor="accent1" w:themeShade="BF"/>
        <w:bottom w:val="single" w:sz="4" w:space="10" w:color="A3412F" w:themeColor="accent1" w:themeShade="BF"/>
      </w:pBdr>
      <w:spacing w:before="360" w:after="360"/>
      <w:ind w:left="864" w:right="864"/>
      <w:jc w:val="center"/>
    </w:pPr>
    <w:rPr>
      <w:i/>
      <w:iCs/>
      <w:color w:val="A3412F" w:themeColor="accent1" w:themeShade="BF"/>
    </w:rPr>
  </w:style>
  <w:style w:type="character" w:customStyle="1" w:styleId="IntenseQuoteChar">
    <w:name w:val="Intense Quote Char"/>
    <w:basedOn w:val="DefaultParagraphFont"/>
    <w:link w:val="IntenseQuote"/>
    <w:uiPriority w:val="30"/>
    <w:rsid w:val="00596F07"/>
    <w:rPr>
      <w:i/>
      <w:iCs/>
      <w:color w:val="A3412F" w:themeColor="accent1" w:themeShade="BF"/>
    </w:rPr>
  </w:style>
  <w:style w:type="character" w:styleId="IntenseReference">
    <w:name w:val="Intense Reference"/>
    <w:basedOn w:val="DefaultParagraphFont"/>
    <w:uiPriority w:val="32"/>
    <w:qFormat/>
    <w:rsid w:val="00596F07"/>
    <w:rPr>
      <w:b/>
      <w:bCs/>
      <w:smallCaps/>
      <w:color w:val="A3412F" w:themeColor="accent1" w:themeShade="BF"/>
      <w:spacing w:val="5"/>
    </w:rPr>
  </w:style>
  <w:style w:type="paragraph" w:styleId="Header">
    <w:name w:val="header"/>
    <w:basedOn w:val="Normal"/>
    <w:link w:val="HeaderChar"/>
    <w:uiPriority w:val="99"/>
    <w:unhideWhenUsed/>
    <w:rsid w:val="00596F07"/>
    <w:pPr>
      <w:tabs>
        <w:tab w:val="center" w:pos="4513"/>
        <w:tab w:val="right" w:pos="9026"/>
      </w:tabs>
    </w:pPr>
  </w:style>
  <w:style w:type="character" w:customStyle="1" w:styleId="HeaderChar">
    <w:name w:val="Header Char"/>
    <w:basedOn w:val="DefaultParagraphFont"/>
    <w:link w:val="Header"/>
    <w:uiPriority w:val="99"/>
    <w:rsid w:val="00596F07"/>
  </w:style>
  <w:style w:type="paragraph" w:styleId="Footer">
    <w:name w:val="footer"/>
    <w:basedOn w:val="Normal"/>
    <w:link w:val="FooterChar"/>
    <w:uiPriority w:val="99"/>
    <w:unhideWhenUsed/>
    <w:rsid w:val="006D2DEE"/>
    <w:pPr>
      <w:tabs>
        <w:tab w:val="clear" w:pos="284"/>
        <w:tab w:val="clear" w:pos="567"/>
        <w:tab w:val="clear" w:pos="851"/>
        <w:tab w:val="right" w:pos="9639"/>
      </w:tabs>
      <w:spacing w:after="60" w:line="288" w:lineRule="auto"/>
    </w:pPr>
    <w:rPr>
      <w:sz w:val="16"/>
    </w:rPr>
  </w:style>
  <w:style w:type="character" w:customStyle="1" w:styleId="FooterChar">
    <w:name w:val="Footer Char"/>
    <w:basedOn w:val="DefaultParagraphFont"/>
    <w:link w:val="Footer"/>
    <w:uiPriority w:val="99"/>
    <w:rsid w:val="006D2DEE"/>
    <w:rPr>
      <w:color w:val="000000" w:themeColor="text2"/>
      <w:sz w:val="16"/>
    </w:rPr>
  </w:style>
  <w:style w:type="table" w:styleId="TableGrid">
    <w:name w:val="Table Grid"/>
    <w:aliases w:val="NACCHO Table Style 1"/>
    <w:basedOn w:val="TableNormal"/>
    <w:uiPriority w:val="39"/>
    <w:rsid w:val="008A5ABD"/>
    <w:pPr>
      <w:spacing w:after="120" w:line="260" w:lineRule="exact"/>
    </w:pPr>
    <w:rPr>
      <w:color w:val="000000" w:themeColor="text2"/>
      <w:sz w:val="20"/>
    </w:rPr>
    <w:tblPr>
      <w:tblBorders>
        <w:top w:val="single" w:sz="4" w:space="0" w:color="001441" w:themeColor="text1"/>
        <w:bottom w:val="single" w:sz="4" w:space="0" w:color="001441" w:themeColor="text1"/>
        <w:insideH w:val="single" w:sz="4" w:space="0" w:color="001441" w:themeColor="text1"/>
      </w:tblBorders>
      <w:tblCellMar>
        <w:top w:w="85" w:type="dxa"/>
        <w:left w:w="142" w:type="dxa"/>
        <w:right w:w="142" w:type="dxa"/>
      </w:tblCellMar>
    </w:tblPr>
    <w:tblStylePr w:type="firstCol">
      <w:tblPr/>
      <w:tcPr>
        <w:shd w:val="clear" w:color="auto" w:fill="EBEBEB" w:themeFill="background2"/>
      </w:tcPr>
    </w:tblStylePr>
  </w:style>
  <w:style w:type="paragraph" w:styleId="NoSpacing">
    <w:name w:val="No Spacing"/>
    <w:basedOn w:val="NACCHOtext"/>
    <w:qFormat/>
    <w:rsid w:val="003639F1"/>
    <w:pPr>
      <w:spacing w:after="0"/>
    </w:pPr>
  </w:style>
  <w:style w:type="paragraph" w:customStyle="1" w:styleId="Bullets1">
    <w:name w:val="Bullets 1"/>
    <w:basedOn w:val="NACCHOtext"/>
    <w:qFormat/>
    <w:rsid w:val="00CB73E1"/>
    <w:pPr>
      <w:numPr>
        <w:numId w:val="3"/>
      </w:numPr>
    </w:pPr>
  </w:style>
  <w:style w:type="paragraph" w:customStyle="1" w:styleId="Bullets2">
    <w:name w:val="Bullets 2"/>
    <w:basedOn w:val="Bullets1"/>
    <w:qFormat/>
    <w:rsid w:val="00CB73E1"/>
    <w:pPr>
      <w:numPr>
        <w:numId w:val="5"/>
      </w:numPr>
      <w:ind w:left="568" w:hanging="284"/>
    </w:pPr>
  </w:style>
  <w:style w:type="numbering" w:customStyle="1" w:styleId="CurrentList1">
    <w:name w:val="Current List1"/>
    <w:uiPriority w:val="99"/>
    <w:rsid w:val="00CB73E1"/>
    <w:pPr>
      <w:numPr>
        <w:numId w:val="4"/>
      </w:numPr>
    </w:pPr>
  </w:style>
  <w:style w:type="paragraph" w:customStyle="1" w:styleId="Numberedlist1">
    <w:name w:val="Numbered list 1"/>
    <w:basedOn w:val="Bullets1"/>
    <w:qFormat/>
    <w:rsid w:val="00CB73E1"/>
    <w:pPr>
      <w:numPr>
        <w:numId w:val="8"/>
      </w:numPr>
    </w:pPr>
  </w:style>
  <w:style w:type="numbering" w:customStyle="1" w:styleId="CurrentList2">
    <w:name w:val="Current List2"/>
    <w:uiPriority w:val="99"/>
    <w:rsid w:val="00CB73E1"/>
    <w:pPr>
      <w:numPr>
        <w:numId w:val="6"/>
      </w:numPr>
    </w:pPr>
  </w:style>
  <w:style w:type="numbering" w:styleId="111111">
    <w:name w:val="Outline List 2"/>
    <w:basedOn w:val="NoList"/>
    <w:uiPriority w:val="99"/>
    <w:semiHidden/>
    <w:unhideWhenUsed/>
    <w:rsid w:val="00CB73E1"/>
    <w:pPr>
      <w:numPr>
        <w:numId w:val="7"/>
      </w:numPr>
    </w:pPr>
  </w:style>
  <w:style w:type="paragraph" w:customStyle="1" w:styleId="Numberedlist2">
    <w:name w:val="Numbered list 2"/>
    <w:basedOn w:val="Numberedlist1"/>
    <w:qFormat/>
    <w:rsid w:val="00CB73E1"/>
    <w:pPr>
      <w:numPr>
        <w:numId w:val="10"/>
      </w:numPr>
    </w:pPr>
  </w:style>
  <w:style w:type="numbering" w:customStyle="1" w:styleId="CurrentList3">
    <w:name w:val="Current List3"/>
    <w:uiPriority w:val="99"/>
    <w:rsid w:val="00CB73E1"/>
    <w:pPr>
      <w:numPr>
        <w:numId w:val="9"/>
      </w:numPr>
    </w:pPr>
  </w:style>
  <w:style w:type="character" w:styleId="Hyperlink">
    <w:name w:val="Hyperlink"/>
    <w:basedOn w:val="DefaultParagraphFont"/>
    <w:uiPriority w:val="99"/>
    <w:unhideWhenUsed/>
    <w:rsid w:val="006E54B1"/>
    <w:rPr>
      <w:color w:val="0663AF" w:themeColor="hyperlink"/>
      <w:u w:val="single"/>
    </w:rPr>
  </w:style>
  <w:style w:type="character" w:styleId="UnresolvedMention">
    <w:name w:val="Unresolved Mention"/>
    <w:basedOn w:val="DefaultParagraphFont"/>
    <w:uiPriority w:val="99"/>
    <w:rsid w:val="006E54B1"/>
    <w:rPr>
      <w:color w:val="605E5C"/>
      <w:shd w:val="clear" w:color="auto" w:fill="E1DFDD"/>
    </w:rPr>
  </w:style>
  <w:style w:type="character" w:customStyle="1" w:styleId="BoldNavy">
    <w:name w:val="Bold + Navy"/>
    <w:basedOn w:val="DefaultParagraphFont"/>
    <w:uiPriority w:val="1"/>
    <w:qFormat/>
    <w:rsid w:val="00A65D14"/>
    <w:rPr>
      <w:b/>
      <w:color w:val="001441" w:themeColor="text1"/>
    </w:rPr>
  </w:style>
  <w:style w:type="character" w:styleId="FollowedHyperlink">
    <w:name w:val="FollowedHyperlink"/>
    <w:basedOn w:val="DefaultParagraphFont"/>
    <w:uiPriority w:val="99"/>
    <w:semiHidden/>
    <w:unhideWhenUsed/>
    <w:rsid w:val="009E6B2A"/>
    <w:rPr>
      <w:color w:val="3C236C" w:themeColor="followedHyperlink"/>
      <w:u w:val="single"/>
    </w:rPr>
  </w:style>
  <w:style w:type="character" w:styleId="PlaceholderText">
    <w:name w:val="Placeholder Text"/>
    <w:basedOn w:val="DefaultParagraphFont"/>
    <w:uiPriority w:val="99"/>
    <w:rsid w:val="00282B32"/>
    <w:rPr>
      <w:color w:val="808080"/>
    </w:rPr>
  </w:style>
  <w:style w:type="character" w:styleId="PageNumber">
    <w:name w:val="page number"/>
    <w:basedOn w:val="DefaultParagraphFont"/>
    <w:uiPriority w:val="99"/>
    <w:semiHidden/>
    <w:unhideWhenUsed/>
    <w:rsid w:val="006D2DEE"/>
    <w:rPr>
      <w:b/>
    </w:rPr>
  </w:style>
  <w:style w:type="paragraph" w:styleId="TOC2">
    <w:name w:val="toc 2"/>
    <w:basedOn w:val="Normal"/>
    <w:next w:val="Normal"/>
    <w:autoRedefine/>
    <w:uiPriority w:val="39"/>
    <w:unhideWhenUsed/>
    <w:rsid w:val="00BD16CD"/>
    <w:pPr>
      <w:tabs>
        <w:tab w:val="clear" w:pos="567"/>
        <w:tab w:val="clear" w:pos="851"/>
        <w:tab w:val="right" w:pos="8505"/>
      </w:tabs>
      <w:spacing w:before="240"/>
      <w:ind w:right="1134"/>
    </w:pPr>
    <w:rPr>
      <w:rFonts w:asciiTheme="majorHAnsi" w:hAnsiTheme="majorHAnsi"/>
      <w:b/>
      <w:color w:val="001441" w:themeColor="text1"/>
      <w:sz w:val="22"/>
    </w:rPr>
  </w:style>
  <w:style w:type="paragraph" w:styleId="TOC1">
    <w:name w:val="toc 1"/>
    <w:basedOn w:val="Normal"/>
    <w:next w:val="Normal"/>
    <w:autoRedefine/>
    <w:uiPriority w:val="39"/>
    <w:unhideWhenUsed/>
    <w:rsid w:val="00ED5A8A"/>
    <w:pPr>
      <w:tabs>
        <w:tab w:val="clear" w:pos="567"/>
        <w:tab w:val="clear" w:pos="851"/>
        <w:tab w:val="right" w:pos="8505"/>
        <w:tab w:val="right" w:pos="9622"/>
      </w:tabs>
      <w:spacing w:before="120" w:after="160" w:line="300" w:lineRule="exact"/>
      <w:ind w:right="1134"/>
    </w:pPr>
    <w:rPr>
      <w:rFonts w:asciiTheme="majorHAnsi" w:hAnsiTheme="majorHAnsi"/>
      <w:b/>
      <w:color w:val="007769" w:themeColor="accent6"/>
      <w:sz w:val="24"/>
    </w:rPr>
  </w:style>
  <w:style w:type="paragraph" w:customStyle="1" w:styleId="Authorspublicationinfo">
    <w:name w:val="Authors &amp; publication info"/>
    <w:basedOn w:val="Heading2"/>
    <w:qFormat/>
    <w:rsid w:val="00BA6977"/>
    <w:pPr>
      <w:spacing w:line="300" w:lineRule="exact"/>
    </w:pPr>
    <w:rPr>
      <w:rFonts w:cs="Times New Roman (Headings CS)"/>
      <w:b w:val="0"/>
      <w:color w:val="FFFFFF" w:themeColor="background1"/>
      <w:sz w:val="24"/>
    </w:rPr>
  </w:style>
  <w:style w:type="paragraph" w:customStyle="1" w:styleId="BlocktextYellow">
    <w:name w:val="Block text – Yellow"/>
    <w:basedOn w:val="NACCHOtext"/>
    <w:qFormat/>
    <w:rsid w:val="00110141"/>
    <w:pPr>
      <w:pBdr>
        <w:top w:val="single" w:sz="4" w:space="8" w:color="FFBA00" w:themeColor="accent4"/>
        <w:left w:val="single" w:sz="4" w:space="10" w:color="FFBA00" w:themeColor="accent4"/>
        <w:bottom w:val="single" w:sz="4" w:space="10" w:color="FFBA00" w:themeColor="accent4"/>
        <w:right w:val="single" w:sz="4" w:space="10" w:color="FFBA00" w:themeColor="accent4"/>
      </w:pBdr>
      <w:shd w:val="clear" w:color="auto" w:fill="FFBA00" w:themeFill="accent4"/>
      <w:ind w:left="198" w:right="2466"/>
    </w:pPr>
  </w:style>
  <w:style w:type="paragraph" w:customStyle="1" w:styleId="Introduction">
    <w:name w:val="Introduction"/>
    <w:basedOn w:val="Heading2"/>
    <w:qFormat/>
    <w:rsid w:val="00EC373A"/>
    <w:pPr>
      <w:spacing w:line="300" w:lineRule="exact"/>
      <w:ind w:right="2041"/>
    </w:pPr>
    <w:rPr>
      <w:b w:val="0"/>
      <w:color w:val="001441" w:themeColor="text1"/>
      <w:sz w:val="24"/>
    </w:rPr>
  </w:style>
  <w:style w:type="paragraph" w:customStyle="1" w:styleId="BlocktextViolet">
    <w:name w:val="Block text – Violet"/>
    <w:basedOn w:val="BlocktextYellow"/>
    <w:qFormat/>
    <w:rsid w:val="00110141"/>
    <w:pPr>
      <w:pBdr>
        <w:top w:val="single" w:sz="4" w:space="8" w:color="838DC8" w:themeColor="accent5"/>
        <w:left w:val="single" w:sz="4" w:space="10" w:color="838DC8" w:themeColor="accent5"/>
        <w:bottom w:val="single" w:sz="4" w:space="10" w:color="838DC8" w:themeColor="accent5"/>
        <w:right w:val="single" w:sz="4" w:space="10" w:color="838DC8" w:themeColor="accent5"/>
      </w:pBdr>
      <w:shd w:val="clear" w:color="auto" w:fill="838DC8" w:themeFill="accent5"/>
    </w:pPr>
  </w:style>
  <w:style w:type="table" w:styleId="TableGridLight">
    <w:name w:val="Grid Table Light"/>
    <w:aliases w:val="NACCHO Table Style 2"/>
    <w:basedOn w:val="TableNormal"/>
    <w:uiPriority w:val="40"/>
    <w:rsid w:val="008A5ABD"/>
    <w:pPr>
      <w:spacing w:after="120" w:line="260" w:lineRule="exact"/>
    </w:pPr>
    <w:rPr>
      <w:color w:val="000000" w:themeColor="text2"/>
      <w:sz w:val="20"/>
    </w:rPr>
    <w:tblPr>
      <w:tblStyleRowBandSize w:val="1"/>
      <w:tblStyleColBandSize w:val="1"/>
      <w:tblBorders>
        <w:bottom w:val="single" w:sz="4" w:space="0" w:color="001441" w:themeColor="text1"/>
        <w:insideH w:val="single" w:sz="4" w:space="0" w:color="001441" w:themeColor="text1"/>
      </w:tblBorders>
      <w:tblCellMar>
        <w:top w:w="85" w:type="dxa"/>
        <w:left w:w="142" w:type="dxa"/>
        <w:right w:w="142" w:type="dxa"/>
      </w:tblCellMar>
    </w:tblPr>
    <w:tcPr>
      <w:shd w:val="clear" w:color="auto" w:fill="auto"/>
    </w:tcPr>
    <w:tblStylePr w:type="firstRow">
      <w:pPr>
        <w:wordWrap/>
        <w:spacing w:line="240" w:lineRule="auto"/>
      </w:pPr>
      <w:rPr>
        <w:rFonts w:asciiTheme="minorHAnsi" w:hAnsiTheme="minorHAnsi"/>
        <w:b/>
        <w:color w:val="FFFFFF" w:themeColor="background1"/>
        <w:sz w:val="20"/>
      </w:rPr>
      <w:tblPr/>
      <w:tcPr>
        <w:shd w:val="clear" w:color="auto" w:fill="001441" w:themeFill="text1"/>
      </w:tcPr>
    </w:tblStylePr>
    <w:tblStylePr w:type="lastRow">
      <w:rPr>
        <w:rFonts w:asciiTheme="minorHAnsi" w:hAnsiTheme="minorHAnsi"/>
        <w:b/>
        <w:color w:val="FFFFFF" w:themeColor="background1"/>
        <w:sz w:val="20"/>
      </w:rPr>
      <w:tblPr/>
      <w:tcPr>
        <w:tcBorders>
          <w:top w:val="single" w:sz="4" w:space="0" w:color="auto"/>
          <w:bottom w:val="single" w:sz="4" w:space="0" w:color="auto"/>
        </w:tcBorders>
        <w:shd w:val="clear" w:color="auto" w:fill="0663AF"/>
      </w:tcPr>
    </w:tblStylePr>
    <w:tblStylePr w:type="firstCol">
      <w:rPr>
        <w:color w:val="001441" w:themeColor="text1"/>
      </w:rPr>
      <w:tblPr/>
      <w:tcPr>
        <w:shd w:val="clear" w:color="auto" w:fill="CC614D" w:themeFill="accent1"/>
      </w:tcPr>
    </w:tblStylePr>
    <w:tblStylePr w:type="lastCol">
      <w:pPr>
        <w:jc w:val="right"/>
      </w:pPr>
      <w:rPr>
        <w:rFonts w:asciiTheme="minorHAnsi" w:hAnsiTheme="minorHAnsi"/>
        <w:b/>
        <w:color w:val="FFFFFF" w:themeColor="background1"/>
        <w:sz w:val="20"/>
      </w:rPr>
      <w:tblPr/>
      <w:tcPr>
        <w:shd w:val="clear" w:color="auto" w:fill="0663AF"/>
      </w:tcPr>
    </w:tblStylePr>
    <w:tblStylePr w:type="band1Vert">
      <w:tblPr/>
      <w:tcPr>
        <w:shd w:val="clear" w:color="auto" w:fill="EBEBEB" w:themeFill="background2"/>
      </w:tcPr>
    </w:tblStylePr>
  </w:style>
  <w:style w:type="table" w:styleId="PlainTable1">
    <w:name w:val="Plain Table 1"/>
    <w:basedOn w:val="TableNormal"/>
    <w:uiPriority w:val="41"/>
    <w:rsid w:val="00B013E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3">
    <w:name w:val="toc 3"/>
    <w:basedOn w:val="Normal"/>
    <w:next w:val="Normal"/>
    <w:autoRedefine/>
    <w:uiPriority w:val="39"/>
    <w:unhideWhenUsed/>
    <w:rsid w:val="005A3DB6"/>
    <w:pPr>
      <w:tabs>
        <w:tab w:val="clear" w:pos="567"/>
        <w:tab w:val="clear" w:pos="851"/>
        <w:tab w:val="right" w:pos="8505"/>
      </w:tabs>
      <w:ind w:right="1134"/>
    </w:pPr>
  </w:style>
  <w:style w:type="paragraph" w:customStyle="1" w:styleId="Featurequote">
    <w:name w:val="Feature quote"/>
    <w:basedOn w:val="Introduction"/>
    <w:qFormat/>
    <w:rsid w:val="006214A9"/>
    <w:pPr>
      <w:spacing w:before="240" w:after="360"/>
      <w:ind w:right="1418"/>
    </w:pPr>
    <w:rPr>
      <w:color w:val="007769" w:themeColor="accent6"/>
    </w:rPr>
  </w:style>
  <w:style w:type="paragraph" w:styleId="FootnoteText">
    <w:name w:val="footnote text"/>
    <w:basedOn w:val="Normal"/>
    <w:link w:val="FootnoteTextChar"/>
    <w:uiPriority w:val="99"/>
    <w:semiHidden/>
    <w:unhideWhenUsed/>
    <w:rsid w:val="00BF4005"/>
    <w:pPr>
      <w:spacing w:after="0" w:line="240" w:lineRule="auto"/>
    </w:pPr>
    <w:rPr>
      <w:szCs w:val="20"/>
    </w:rPr>
  </w:style>
  <w:style w:type="character" w:customStyle="1" w:styleId="FootnoteTextChar">
    <w:name w:val="Footnote Text Char"/>
    <w:basedOn w:val="DefaultParagraphFont"/>
    <w:link w:val="FootnoteText"/>
    <w:uiPriority w:val="99"/>
    <w:semiHidden/>
    <w:rsid w:val="00BF4005"/>
    <w:rPr>
      <w:color w:val="000000" w:themeColor="text2"/>
      <w:sz w:val="20"/>
      <w:szCs w:val="20"/>
    </w:rPr>
  </w:style>
  <w:style w:type="character" w:styleId="FootnoteReference">
    <w:name w:val="footnote reference"/>
    <w:uiPriority w:val="99"/>
    <w:semiHidden/>
    <w:unhideWhenUsed/>
    <w:rsid w:val="00BF4005"/>
    <w:rPr>
      <w:vertAlign w:val="superscript"/>
    </w:rPr>
  </w:style>
  <w:style w:type="character" w:styleId="BookTitle">
    <w:name w:val="Book Title"/>
    <w:basedOn w:val="DefaultParagraphFont"/>
    <w:uiPriority w:val="33"/>
    <w:qFormat/>
    <w:rsid w:val="0083716C"/>
    <w:rPr>
      <w:b/>
      <w:bCs/>
      <w:i/>
      <w:iCs/>
      <w:spacing w:val="5"/>
    </w:rPr>
  </w:style>
  <w:style w:type="paragraph" w:styleId="Caption">
    <w:name w:val="caption"/>
    <w:basedOn w:val="Normal"/>
    <w:next w:val="Normal"/>
    <w:uiPriority w:val="35"/>
    <w:semiHidden/>
    <w:unhideWhenUsed/>
    <w:qFormat/>
    <w:rsid w:val="0083716C"/>
    <w:pPr>
      <w:spacing w:after="200" w:line="240" w:lineRule="auto"/>
    </w:pPr>
    <w:rPr>
      <w:i/>
      <w:iCs/>
      <w:sz w:val="18"/>
      <w:szCs w:val="18"/>
    </w:rPr>
  </w:style>
  <w:style w:type="character" w:styleId="Emphasis">
    <w:name w:val="Emphasis"/>
    <w:basedOn w:val="DefaultParagraphFont"/>
    <w:uiPriority w:val="20"/>
    <w:qFormat/>
    <w:rsid w:val="0083716C"/>
    <w:rPr>
      <w:i/>
      <w:iCs/>
    </w:rPr>
  </w:style>
  <w:style w:type="character" w:styleId="SubtleEmphasis">
    <w:name w:val="Subtle Emphasis"/>
    <w:basedOn w:val="DefaultParagraphFont"/>
    <w:uiPriority w:val="19"/>
    <w:qFormat/>
    <w:rsid w:val="0083716C"/>
    <w:rPr>
      <w:i/>
      <w:iCs/>
      <w:color w:val="0036B0" w:themeColor="text1" w:themeTint="BF"/>
    </w:rPr>
  </w:style>
  <w:style w:type="character" w:styleId="SubtleReference">
    <w:name w:val="Subtle Reference"/>
    <w:basedOn w:val="DefaultParagraphFont"/>
    <w:uiPriority w:val="31"/>
    <w:qFormat/>
    <w:rsid w:val="0083716C"/>
    <w:rPr>
      <w:smallCaps/>
      <w:color w:val="0043DE" w:themeColor="text1" w:themeTint="A5"/>
    </w:rPr>
  </w:style>
  <w:style w:type="paragraph" w:styleId="TOCHeading">
    <w:name w:val="TOC Heading"/>
    <w:basedOn w:val="Heading1"/>
    <w:next w:val="Normal"/>
    <w:uiPriority w:val="39"/>
    <w:unhideWhenUsed/>
    <w:qFormat/>
    <w:rsid w:val="0083716C"/>
    <w:pPr>
      <w:pageBreakBefore w:val="0"/>
      <w:spacing w:before="240" w:after="0" w:line="260" w:lineRule="exact"/>
      <w:outlineLvl w:val="9"/>
    </w:pPr>
    <w:rPr>
      <w:b w:val="0"/>
      <w:color w:val="A3412F" w:themeColor="accent1" w:themeShade="BF"/>
      <w:sz w:val="32"/>
      <w:szCs w:val="32"/>
    </w:rPr>
  </w:style>
  <w:style w:type="character" w:styleId="CommentReference">
    <w:name w:val="annotation reference"/>
    <w:basedOn w:val="DefaultParagraphFont"/>
    <w:uiPriority w:val="99"/>
    <w:semiHidden/>
    <w:unhideWhenUsed/>
    <w:rsid w:val="00A97476"/>
    <w:rPr>
      <w:sz w:val="16"/>
      <w:szCs w:val="16"/>
    </w:rPr>
  </w:style>
  <w:style w:type="paragraph" w:styleId="CommentText">
    <w:name w:val="annotation text"/>
    <w:basedOn w:val="Normal"/>
    <w:link w:val="CommentTextChar"/>
    <w:uiPriority w:val="99"/>
    <w:unhideWhenUsed/>
    <w:rsid w:val="00A97476"/>
    <w:pPr>
      <w:spacing w:line="240" w:lineRule="auto"/>
    </w:pPr>
    <w:rPr>
      <w:szCs w:val="20"/>
    </w:rPr>
  </w:style>
  <w:style w:type="character" w:customStyle="1" w:styleId="CommentTextChar">
    <w:name w:val="Comment Text Char"/>
    <w:basedOn w:val="DefaultParagraphFont"/>
    <w:link w:val="CommentText"/>
    <w:uiPriority w:val="99"/>
    <w:rsid w:val="00A97476"/>
    <w:rPr>
      <w:color w:val="000000" w:themeColor="text2"/>
      <w:sz w:val="20"/>
      <w:szCs w:val="20"/>
    </w:rPr>
  </w:style>
  <w:style w:type="paragraph" w:styleId="CommentSubject">
    <w:name w:val="annotation subject"/>
    <w:basedOn w:val="CommentText"/>
    <w:next w:val="CommentText"/>
    <w:link w:val="CommentSubjectChar"/>
    <w:uiPriority w:val="99"/>
    <w:semiHidden/>
    <w:unhideWhenUsed/>
    <w:rsid w:val="00A97476"/>
    <w:rPr>
      <w:b/>
      <w:bCs/>
    </w:rPr>
  </w:style>
  <w:style w:type="character" w:customStyle="1" w:styleId="CommentSubjectChar">
    <w:name w:val="Comment Subject Char"/>
    <w:basedOn w:val="CommentTextChar"/>
    <w:link w:val="CommentSubject"/>
    <w:uiPriority w:val="99"/>
    <w:semiHidden/>
    <w:rsid w:val="00A97476"/>
    <w:rPr>
      <w:b/>
      <w:bCs/>
      <w:color w:val="000000" w:themeColor="text2"/>
      <w:sz w:val="20"/>
      <w:szCs w:val="20"/>
    </w:rPr>
  </w:style>
  <w:style w:type="paragraph" w:customStyle="1" w:styleId="StyleHeading148ptAccent5">
    <w:name w:val="Style Heading 1 + 48 pt Accent 5"/>
    <w:basedOn w:val="Heading1"/>
    <w:rsid w:val="00BC39A0"/>
    <w:rPr>
      <w:bCs/>
      <w:color w:val="333C72" w:themeColor="accent5" w:themeShade="80"/>
      <w:sz w:val="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header" Target="header1.xml"/><Relationship Id="rId26" Type="http://schemas.openxmlformats.org/officeDocument/2006/relationships/image" Target="media/image10.png"/><Relationship Id="rId39" Type="http://schemas.openxmlformats.org/officeDocument/2006/relationships/header" Target="header7.xml"/><Relationship Id="rId21" Type="http://schemas.openxmlformats.org/officeDocument/2006/relationships/footer" Target="footer2.xml"/><Relationship Id="rId34" Type="http://schemas.openxmlformats.org/officeDocument/2006/relationships/hyperlink" Target="https://www.safetyandquality.gov.au/clinical-topics/digital-health/artificial-intelligence" TargetMode="Externa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dhsca.com.au/about" TargetMode="Externa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32" Type="http://schemas.openxmlformats.org/officeDocument/2006/relationships/header" Target="header6.xml"/><Relationship Id="rId37" Type="http://schemas.openxmlformats.org/officeDocument/2006/relationships/hyperlink" Target="https://www.cyber.gov.au/business-government/asds-cyber-security-frameworks/essential-eight/essential-eight-maturity-model" TargetMode="External"/><Relationship Id="rId40" Type="http://schemas.openxmlformats.org/officeDocument/2006/relationships/header" Target="header8.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ssets.pc.gov.au/research/completed/digital-healthcare/digital-healthcare.pdf?_gl=1*qhdcrw*_gcl_au*MTA3NTUzMzQwLjE3ODY0MTQ5MDM.*_ga*MjAzMTYzNzAxOC4xNzg2NDE0OTAz*_ga_XNW84J8HF8*czE3ODc1MzQwMTEkbzMkZzAkdDE3ODc1MzQwMTEkajYwJGwwJGgw" TargetMode="External"/><Relationship Id="rId23" Type="http://schemas.openxmlformats.org/officeDocument/2006/relationships/footer" Target="footer3.xml"/><Relationship Id="rId28" Type="http://schemas.openxmlformats.org/officeDocument/2006/relationships/image" Target="media/image11.png"/><Relationship Id="rId36" Type="http://schemas.openxmlformats.org/officeDocument/2006/relationships/hyperlink" Target="https://www.tga.gov.au/products/medical-devices/software-and-artificial-intelligence-ai"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footer" Target="footer5.xml"/><Relationship Id="rId44"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igitalhealth@naccho.org.au" TargetMode="External"/><Relationship Id="rId22" Type="http://schemas.openxmlformats.org/officeDocument/2006/relationships/header" Target="header3.xml"/><Relationship Id="rId27" Type="http://schemas.openxmlformats.org/officeDocument/2006/relationships/header" Target="header4.xml"/><Relationship Id="rId30" Type="http://schemas.openxmlformats.org/officeDocument/2006/relationships/header" Target="header5.xml"/><Relationship Id="rId35" Type="http://schemas.openxmlformats.org/officeDocument/2006/relationships/hyperlink" Target="https://www.ahpra.gov.au/Resources/Artificial-Intelligence-in-healthcare" TargetMode="External"/><Relationship Id="rId43" Type="http://schemas.openxmlformats.org/officeDocument/2006/relationships/header" Target="header9.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9.png"/><Relationship Id="rId33" Type="http://schemas.openxmlformats.org/officeDocument/2006/relationships/hyperlink" Target="https://www.ai.gov.au/staying-safe-and-responsible/essential-ai-practices/guidance-ai-adoption-foundations" TargetMode="External"/><Relationship Id="rId38" Type="http://schemas.openxmlformats.org/officeDocument/2006/relationships/hyperlink" Target="https://www.maiamnayriwingara.org/mnw-principles" TargetMode="External"/><Relationship Id="rId46" Type="http://schemas.openxmlformats.org/officeDocument/2006/relationships/glossaryDocument" Target="glossary/document.xml"/><Relationship Id="rId20" Type="http://schemas.openxmlformats.org/officeDocument/2006/relationships/footer" Target="footer1.xml"/><Relationship Id="rId41" Type="http://schemas.openxmlformats.org/officeDocument/2006/relationships/footer" Target="footer6.xml"/></Relationships>
</file>

<file path=word/_rels/foot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footer4.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footer5.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footer7.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5.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leMarchant\Downloads\NACCHO_Report%20template%20(Arial%20websafe)_May2026%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7BE27298FE4C97A435C7C14A3CE416"/>
        <w:category>
          <w:name w:val="General"/>
          <w:gallery w:val="placeholder"/>
        </w:category>
        <w:types>
          <w:type w:val="bbPlcHdr"/>
        </w:types>
        <w:behaviors>
          <w:behavior w:val="content"/>
        </w:behaviors>
        <w:guid w:val="{A1263661-E959-4C55-8279-EBE276F6534A}"/>
      </w:docPartPr>
      <w:docPartBody>
        <w:p w:rsidR="00584A14" w:rsidRDefault="00606DC2" w:rsidP="00606DC2">
          <w:pPr>
            <w:pStyle w:val="177BE27298FE4C97A435C7C14A3CE416"/>
          </w:pPr>
          <w:r w:rsidRPr="008E4DBB">
            <w:rPr>
              <w:rStyle w:val="PlaceholderText"/>
            </w:rPr>
            <w:t>[Author]</w:t>
          </w:r>
        </w:p>
      </w:docPartBody>
    </w:docPart>
    <w:docPart>
      <w:docPartPr>
        <w:name w:val="20692ABC17344B9D83E650FA8690D73B"/>
        <w:category>
          <w:name w:val="General"/>
          <w:gallery w:val="placeholder"/>
        </w:category>
        <w:types>
          <w:type w:val="bbPlcHdr"/>
        </w:types>
        <w:behaviors>
          <w:behavior w:val="content"/>
        </w:behaviors>
        <w:guid w:val="{C5C20E73-D667-4FE3-8C40-77608F0B7AAF}"/>
      </w:docPartPr>
      <w:docPartBody>
        <w:p w:rsidR="00584A14" w:rsidRDefault="00606DC2" w:rsidP="00606DC2">
          <w:pPr>
            <w:pStyle w:val="20692ABC17344B9D83E650FA8690D73B"/>
          </w:pPr>
          <w:r w:rsidRPr="008E4DBB">
            <w:rPr>
              <w:rStyle w:val="PlaceholderText"/>
            </w:rPr>
            <w:t>Click or tap to enter a date.</w:t>
          </w:r>
        </w:p>
      </w:docPartBody>
    </w:docPart>
    <w:docPart>
      <w:docPartPr>
        <w:name w:val="9367E54EAAD34045B6287D972FE11952"/>
        <w:category>
          <w:name w:val="General"/>
          <w:gallery w:val="placeholder"/>
        </w:category>
        <w:types>
          <w:type w:val="bbPlcHdr"/>
        </w:types>
        <w:behaviors>
          <w:behavior w:val="content"/>
        </w:behaviors>
        <w:guid w:val="{EFA6F569-735E-42D6-A182-BA0191010D6C}"/>
      </w:docPartPr>
      <w:docPartBody>
        <w:p w:rsidR="00584A14" w:rsidRDefault="00606DC2" w:rsidP="00606DC2">
          <w:pPr>
            <w:pStyle w:val="9367E54EAAD34045B6287D972FE11952"/>
          </w:pPr>
          <w:r w:rsidRPr="008E4DBB">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dy)">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 w:name="Times New Roman (Body CS)">
    <w:altName w:val="Times New Roman"/>
    <w:charset w:val="00"/>
    <w:family w:val="roman"/>
    <w:pitch w:val="variable"/>
    <w:sig w:usb0="E0002AEF" w:usb1="C0007841" w:usb2="00000009" w:usb3="00000000" w:csb0="000001FF" w:csb1="00000000"/>
  </w:font>
  <w:font w:name="Times New Roman (Headings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DC2"/>
    <w:rsid w:val="00001886"/>
    <w:rsid w:val="000930E2"/>
    <w:rsid w:val="001775F6"/>
    <w:rsid w:val="001A5F7D"/>
    <w:rsid w:val="001F5B46"/>
    <w:rsid w:val="00364B5B"/>
    <w:rsid w:val="00433F33"/>
    <w:rsid w:val="0055380C"/>
    <w:rsid w:val="00584A14"/>
    <w:rsid w:val="00606DC2"/>
    <w:rsid w:val="00680822"/>
    <w:rsid w:val="00772E84"/>
    <w:rsid w:val="00A2283E"/>
    <w:rsid w:val="00C40E04"/>
    <w:rsid w:val="00C7623E"/>
    <w:rsid w:val="00CB2274"/>
    <w:rsid w:val="00D65665"/>
    <w:rsid w:val="00D83EC8"/>
    <w:rsid w:val="00DB5227"/>
    <w:rsid w:val="00ED1D08"/>
    <w:rsid w:val="00F83E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06DC2"/>
    <w:rPr>
      <w:color w:val="666666"/>
    </w:rPr>
  </w:style>
  <w:style w:type="paragraph" w:customStyle="1" w:styleId="177BE27298FE4C97A435C7C14A3CE416">
    <w:name w:val="177BE27298FE4C97A435C7C14A3CE416"/>
    <w:rsid w:val="00606DC2"/>
  </w:style>
  <w:style w:type="paragraph" w:customStyle="1" w:styleId="20692ABC17344B9D83E650FA8690D73B">
    <w:name w:val="20692ABC17344B9D83E650FA8690D73B"/>
    <w:rsid w:val="00606DC2"/>
  </w:style>
  <w:style w:type="paragraph" w:customStyle="1" w:styleId="9367E54EAAD34045B6287D972FE11952">
    <w:name w:val="9367E54EAAD34045B6287D972FE11952"/>
    <w:rsid w:val="00606D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ACCHO – Core brand">
      <a:dk1>
        <a:srgbClr val="001441"/>
      </a:dk1>
      <a:lt1>
        <a:srgbClr val="FFFFFF"/>
      </a:lt1>
      <a:dk2>
        <a:srgbClr val="000000"/>
      </a:dk2>
      <a:lt2>
        <a:srgbClr val="EBEBEB"/>
      </a:lt2>
      <a:accent1>
        <a:srgbClr val="CC614D"/>
      </a:accent1>
      <a:accent2>
        <a:srgbClr val="661230"/>
      </a:accent2>
      <a:accent3>
        <a:srgbClr val="BF0D3E"/>
      </a:accent3>
      <a:accent4>
        <a:srgbClr val="FFBA00"/>
      </a:accent4>
      <a:accent5>
        <a:srgbClr val="838DC8"/>
      </a:accent5>
      <a:accent6>
        <a:srgbClr val="007769"/>
      </a:accent6>
      <a:hlink>
        <a:srgbClr val="0663AF"/>
      </a:hlink>
      <a:folHlink>
        <a:srgbClr val="3C236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b2eb0f3-3047-430e-a971-e1cd70b61b9d" xsi:nil="true"/>
    <lcf76f155ced4ddcb4097134ff3c332f xmlns="94080caa-e08f-4080-9dcb-8227519a4c6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5C55CD406EC7F43B971D048DFE5FCD8" ma:contentTypeVersion="10" ma:contentTypeDescription="Create a new document." ma:contentTypeScope="" ma:versionID="05a36848c4626154b8777b47d07d0ca1">
  <xsd:schema xmlns:xsd="http://www.w3.org/2001/XMLSchema" xmlns:xs="http://www.w3.org/2001/XMLSchema" xmlns:p="http://schemas.microsoft.com/office/2006/metadata/properties" xmlns:ns2="94080caa-e08f-4080-9dcb-8227519a4c66" xmlns:ns3="9b2eb0f3-3047-430e-a971-e1cd70b61b9d" targetNamespace="http://schemas.microsoft.com/office/2006/metadata/properties" ma:root="true" ma:fieldsID="7b85be84b633492b6fbe2321ee59a6e5" ns2:_="" ns3:_="">
    <xsd:import namespace="94080caa-e08f-4080-9dcb-8227519a4c66"/>
    <xsd:import namespace="9b2eb0f3-3047-430e-a971-e1cd70b61b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080caa-e08f-4080-9dcb-8227519a4c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954b5c0-47a7-4221-a3a8-a56c93800a3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2eb0f3-3047-430e-a971-e1cd70b61b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e95739f-1a2d-45b4-bd6b-6073632184f7}" ma:internalName="TaxCatchAll" ma:showField="CatchAllData" ma:web="9b2eb0f3-3047-430e-a971-e1cd70b61b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DF84F7-329C-4C3F-937A-5BE43FB341F4}">
  <ds:schemaRefs>
    <ds:schemaRef ds:uri="http://schemas.microsoft.com/sharepoint/v3/contenttype/forms"/>
  </ds:schemaRefs>
</ds:datastoreItem>
</file>

<file path=customXml/itemProps2.xml><?xml version="1.0" encoding="utf-8"?>
<ds:datastoreItem xmlns:ds="http://schemas.openxmlformats.org/officeDocument/2006/customXml" ds:itemID="{92833FBC-371E-4530-83B1-A397E75F43DF}">
  <ds:schemaRefs>
    <ds:schemaRef ds:uri="http://schemas.microsoft.com/office/2006/metadata/properties"/>
    <ds:schemaRef ds:uri="http://schemas.microsoft.com/office/infopath/2007/PartnerControls"/>
    <ds:schemaRef ds:uri="9b2eb0f3-3047-430e-a971-e1cd70b61b9d"/>
    <ds:schemaRef ds:uri="94080caa-e08f-4080-9dcb-8227519a4c66"/>
  </ds:schemaRefs>
</ds:datastoreItem>
</file>

<file path=customXml/itemProps3.xml><?xml version="1.0" encoding="utf-8"?>
<ds:datastoreItem xmlns:ds="http://schemas.openxmlformats.org/officeDocument/2006/customXml" ds:itemID="{3A038E8E-B228-4E7B-AEC7-2A49C5B143F7}">
  <ds:schemaRefs>
    <ds:schemaRef ds:uri="http://schemas.openxmlformats.org/officeDocument/2006/bibliography"/>
  </ds:schemaRefs>
</ds:datastoreItem>
</file>

<file path=customXml/itemProps4.xml><?xml version="1.0" encoding="utf-8"?>
<ds:datastoreItem xmlns:ds="http://schemas.openxmlformats.org/officeDocument/2006/customXml" ds:itemID="{4FF73149-7FBB-4FB8-9ACE-B74D7F7F1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080caa-e08f-4080-9dcb-8227519a4c66"/>
    <ds:schemaRef ds:uri="9b2eb0f3-3047-430e-a971-e1cd70b61b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NACCHO_Report template (Arial websafe)_May2026 (2)</Template>
  <TotalTime>16</TotalTime>
  <Pages>42</Pages>
  <Words>11351</Words>
  <Characters>64817</Characters>
  <Application>Microsoft Office Word</Application>
  <DocSecurity>0</DocSecurity>
  <Lines>1246</Lines>
  <Paragraphs>705</Paragraphs>
  <ScaleCrop>false</ScaleCrop>
  <Company/>
  <LinksUpToDate>false</LinksUpToDate>
  <CharactersWithSpaces>75463</CharactersWithSpaces>
  <SharedDoc>false</SharedDoc>
  <HLinks>
    <vt:vector size="216" baseType="variant">
      <vt:variant>
        <vt:i4>1048670</vt:i4>
      </vt:variant>
      <vt:variant>
        <vt:i4>192</vt:i4>
      </vt:variant>
      <vt:variant>
        <vt:i4>0</vt:i4>
      </vt:variant>
      <vt:variant>
        <vt:i4>5</vt:i4>
      </vt:variant>
      <vt:variant>
        <vt:lpwstr>https://www.maiamnayriwingara.org/mnw-principles</vt:lpwstr>
      </vt:variant>
      <vt:variant>
        <vt:lpwstr/>
      </vt:variant>
      <vt:variant>
        <vt:i4>2687024</vt:i4>
      </vt:variant>
      <vt:variant>
        <vt:i4>189</vt:i4>
      </vt:variant>
      <vt:variant>
        <vt:i4>0</vt:i4>
      </vt:variant>
      <vt:variant>
        <vt:i4>5</vt:i4>
      </vt:variant>
      <vt:variant>
        <vt:lpwstr>https://www.cyber.gov.au/business-government/asds-cyber-security-frameworks/essential-eight/essential-eight-maturity-model</vt:lpwstr>
      </vt:variant>
      <vt:variant>
        <vt:lpwstr/>
      </vt:variant>
      <vt:variant>
        <vt:i4>3014706</vt:i4>
      </vt:variant>
      <vt:variant>
        <vt:i4>186</vt:i4>
      </vt:variant>
      <vt:variant>
        <vt:i4>0</vt:i4>
      </vt:variant>
      <vt:variant>
        <vt:i4>5</vt:i4>
      </vt:variant>
      <vt:variant>
        <vt:lpwstr>https://www.tga.gov.au/products/medical-devices/software-and-artificial-intelligence-ai</vt:lpwstr>
      </vt:variant>
      <vt:variant>
        <vt:lpwstr/>
      </vt:variant>
      <vt:variant>
        <vt:i4>5898267</vt:i4>
      </vt:variant>
      <vt:variant>
        <vt:i4>183</vt:i4>
      </vt:variant>
      <vt:variant>
        <vt:i4>0</vt:i4>
      </vt:variant>
      <vt:variant>
        <vt:i4>5</vt:i4>
      </vt:variant>
      <vt:variant>
        <vt:lpwstr>https://www.ahpra.gov.au/Resources/Artificial-Intelligence-in-healthcare</vt:lpwstr>
      </vt:variant>
      <vt:variant>
        <vt:lpwstr/>
      </vt:variant>
      <vt:variant>
        <vt:i4>3866665</vt:i4>
      </vt:variant>
      <vt:variant>
        <vt:i4>180</vt:i4>
      </vt:variant>
      <vt:variant>
        <vt:i4>0</vt:i4>
      </vt:variant>
      <vt:variant>
        <vt:i4>5</vt:i4>
      </vt:variant>
      <vt:variant>
        <vt:lpwstr>https://www.safetyandquality.gov.au/clinical-topics/digital-health/artificial-intelligence</vt:lpwstr>
      </vt:variant>
      <vt:variant>
        <vt:lpwstr/>
      </vt:variant>
      <vt:variant>
        <vt:i4>7471144</vt:i4>
      </vt:variant>
      <vt:variant>
        <vt:i4>177</vt:i4>
      </vt:variant>
      <vt:variant>
        <vt:i4>0</vt:i4>
      </vt:variant>
      <vt:variant>
        <vt:i4>5</vt:i4>
      </vt:variant>
      <vt:variant>
        <vt:lpwstr>https://www.ai.gov.au/staying-safe-and-responsible/essential-ai-practices/guidance-ai-adoption-foundations</vt:lpwstr>
      </vt:variant>
      <vt:variant>
        <vt:lpwstr/>
      </vt:variant>
      <vt:variant>
        <vt:i4>1376318</vt:i4>
      </vt:variant>
      <vt:variant>
        <vt:i4>170</vt:i4>
      </vt:variant>
      <vt:variant>
        <vt:i4>0</vt:i4>
      </vt:variant>
      <vt:variant>
        <vt:i4>5</vt:i4>
      </vt:variant>
      <vt:variant>
        <vt:lpwstr/>
      </vt:variant>
      <vt:variant>
        <vt:lpwstr>_Toc240897599</vt:lpwstr>
      </vt:variant>
      <vt:variant>
        <vt:i4>1310782</vt:i4>
      </vt:variant>
      <vt:variant>
        <vt:i4>164</vt:i4>
      </vt:variant>
      <vt:variant>
        <vt:i4>0</vt:i4>
      </vt:variant>
      <vt:variant>
        <vt:i4>5</vt:i4>
      </vt:variant>
      <vt:variant>
        <vt:lpwstr/>
      </vt:variant>
      <vt:variant>
        <vt:lpwstr>_Toc240897584</vt:lpwstr>
      </vt:variant>
      <vt:variant>
        <vt:i4>1310782</vt:i4>
      </vt:variant>
      <vt:variant>
        <vt:i4>158</vt:i4>
      </vt:variant>
      <vt:variant>
        <vt:i4>0</vt:i4>
      </vt:variant>
      <vt:variant>
        <vt:i4>5</vt:i4>
      </vt:variant>
      <vt:variant>
        <vt:lpwstr/>
      </vt:variant>
      <vt:variant>
        <vt:lpwstr>_Toc240897583</vt:lpwstr>
      </vt:variant>
      <vt:variant>
        <vt:i4>1310782</vt:i4>
      </vt:variant>
      <vt:variant>
        <vt:i4>152</vt:i4>
      </vt:variant>
      <vt:variant>
        <vt:i4>0</vt:i4>
      </vt:variant>
      <vt:variant>
        <vt:i4>5</vt:i4>
      </vt:variant>
      <vt:variant>
        <vt:lpwstr/>
      </vt:variant>
      <vt:variant>
        <vt:lpwstr>_Toc240897582</vt:lpwstr>
      </vt:variant>
      <vt:variant>
        <vt:i4>1769534</vt:i4>
      </vt:variant>
      <vt:variant>
        <vt:i4>146</vt:i4>
      </vt:variant>
      <vt:variant>
        <vt:i4>0</vt:i4>
      </vt:variant>
      <vt:variant>
        <vt:i4>5</vt:i4>
      </vt:variant>
      <vt:variant>
        <vt:lpwstr/>
      </vt:variant>
      <vt:variant>
        <vt:lpwstr>_Toc240897579</vt:lpwstr>
      </vt:variant>
      <vt:variant>
        <vt:i4>1769534</vt:i4>
      </vt:variant>
      <vt:variant>
        <vt:i4>140</vt:i4>
      </vt:variant>
      <vt:variant>
        <vt:i4>0</vt:i4>
      </vt:variant>
      <vt:variant>
        <vt:i4>5</vt:i4>
      </vt:variant>
      <vt:variant>
        <vt:lpwstr/>
      </vt:variant>
      <vt:variant>
        <vt:lpwstr>_Toc240897572</vt:lpwstr>
      </vt:variant>
      <vt:variant>
        <vt:i4>1769534</vt:i4>
      </vt:variant>
      <vt:variant>
        <vt:i4>134</vt:i4>
      </vt:variant>
      <vt:variant>
        <vt:i4>0</vt:i4>
      </vt:variant>
      <vt:variant>
        <vt:i4>5</vt:i4>
      </vt:variant>
      <vt:variant>
        <vt:lpwstr/>
      </vt:variant>
      <vt:variant>
        <vt:lpwstr>_Toc240897571</vt:lpwstr>
      </vt:variant>
      <vt:variant>
        <vt:i4>1703998</vt:i4>
      </vt:variant>
      <vt:variant>
        <vt:i4>128</vt:i4>
      </vt:variant>
      <vt:variant>
        <vt:i4>0</vt:i4>
      </vt:variant>
      <vt:variant>
        <vt:i4>5</vt:i4>
      </vt:variant>
      <vt:variant>
        <vt:lpwstr/>
      </vt:variant>
      <vt:variant>
        <vt:lpwstr>_Toc240897568</vt:lpwstr>
      </vt:variant>
      <vt:variant>
        <vt:i4>1703998</vt:i4>
      </vt:variant>
      <vt:variant>
        <vt:i4>122</vt:i4>
      </vt:variant>
      <vt:variant>
        <vt:i4>0</vt:i4>
      </vt:variant>
      <vt:variant>
        <vt:i4>5</vt:i4>
      </vt:variant>
      <vt:variant>
        <vt:lpwstr/>
      </vt:variant>
      <vt:variant>
        <vt:lpwstr>_Toc240897567</vt:lpwstr>
      </vt:variant>
      <vt:variant>
        <vt:i4>1703998</vt:i4>
      </vt:variant>
      <vt:variant>
        <vt:i4>116</vt:i4>
      </vt:variant>
      <vt:variant>
        <vt:i4>0</vt:i4>
      </vt:variant>
      <vt:variant>
        <vt:i4>5</vt:i4>
      </vt:variant>
      <vt:variant>
        <vt:lpwstr/>
      </vt:variant>
      <vt:variant>
        <vt:lpwstr>_Toc240897566</vt:lpwstr>
      </vt:variant>
      <vt:variant>
        <vt:i4>1703998</vt:i4>
      </vt:variant>
      <vt:variant>
        <vt:i4>110</vt:i4>
      </vt:variant>
      <vt:variant>
        <vt:i4>0</vt:i4>
      </vt:variant>
      <vt:variant>
        <vt:i4>5</vt:i4>
      </vt:variant>
      <vt:variant>
        <vt:lpwstr/>
      </vt:variant>
      <vt:variant>
        <vt:lpwstr>_Toc240897565</vt:lpwstr>
      </vt:variant>
      <vt:variant>
        <vt:i4>1703998</vt:i4>
      </vt:variant>
      <vt:variant>
        <vt:i4>104</vt:i4>
      </vt:variant>
      <vt:variant>
        <vt:i4>0</vt:i4>
      </vt:variant>
      <vt:variant>
        <vt:i4>5</vt:i4>
      </vt:variant>
      <vt:variant>
        <vt:lpwstr/>
      </vt:variant>
      <vt:variant>
        <vt:lpwstr>_Toc240897563</vt:lpwstr>
      </vt:variant>
      <vt:variant>
        <vt:i4>2293857</vt:i4>
      </vt:variant>
      <vt:variant>
        <vt:i4>99</vt:i4>
      </vt:variant>
      <vt:variant>
        <vt:i4>0</vt:i4>
      </vt:variant>
      <vt:variant>
        <vt:i4>5</vt:i4>
      </vt:variant>
      <vt:variant>
        <vt:lpwstr>https://www.dhsca.com.au/about</vt:lpwstr>
      </vt:variant>
      <vt:variant>
        <vt:lpwstr/>
      </vt:variant>
      <vt:variant>
        <vt:i4>3866733</vt:i4>
      </vt:variant>
      <vt:variant>
        <vt:i4>96</vt:i4>
      </vt:variant>
      <vt:variant>
        <vt:i4>0</vt:i4>
      </vt:variant>
      <vt:variant>
        <vt:i4>5</vt:i4>
      </vt:variant>
      <vt:variant>
        <vt:lpwstr>https://assets.pc.gov.au/research/completed/digital-healthcare/digital-healthcare.pdf?_gl=1*qhdcrw*_gcl_au*MTA3NTUzMzQwLjE3ODY0MTQ5MDM.*_ga*MjAzMTYzNzAxOC4xNzg2NDE0OTAz*_ga_XNW84J8HF8*czE3ODc1MzQwMTEkbzMkZzAkdDE3ODc1MzQwMTEkajYwJGwwJGgw</vt:lpwstr>
      </vt:variant>
      <vt:variant>
        <vt:lpwstr/>
      </vt:variant>
      <vt:variant>
        <vt:i4>1638452</vt:i4>
      </vt:variant>
      <vt:variant>
        <vt:i4>89</vt:i4>
      </vt:variant>
      <vt:variant>
        <vt:i4>0</vt:i4>
      </vt:variant>
      <vt:variant>
        <vt:i4>5</vt:i4>
      </vt:variant>
      <vt:variant>
        <vt:lpwstr/>
      </vt:variant>
      <vt:variant>
        <vt:lpwstr>_Toc240960039</vt:lpwstr>
      </vt:variant>
      <vt:variant>
        <vt:i4>1638452</vt:i4>
      </vt:variant>
      <vt:variant>
        <vt:i4>83</vt:i4>
      </vt:variant>
      <vt:variant>
        <vt:i4>0</vt:i4>
      </vt:variant>
      <vt:variant>
        <vt:i4>5</vt:i4>
      </vt:variant>
      <vt:variant>
        <vt:lpwstr/>
      </vt:variant>
      <vt:variant>
        <vt:lpwstr>_Toc240960038</vt:lpwstr>
      </vt:variant>
      <vt:variant>
        <vt:i4>1638452</vt:i4>
      </vt:variant>
      <vt:variant>
        <vt:i4>77</vt:i4>
      </vt:variant>
      <vt:variant>
        <vt:i4>0</vt:i4>
      </vt:variant>
      <vt:variant>
        <vt:i4>5</vt:i4>
      </vt:variant>
      <vt:variant>
        <vt:lpwstr/>
      </vt:variant>
      <vt:variant>
        <vt:lpwstr>_Toc240960037</vt:lpwstr>
      </vt:variant>
      <vt:variant>
        <vt:i4>1638452</vt:i4>
      </vt:variant>
      <vt:variant>
        <vt:i4>71</vt:i4>
      </vt:variant>
      <vt:variant>
        <vt:i4>0</vt:i4>
      </vt:variant>
      <vt:variant>
        <vt:i4>5</vt:i4>
      </vt:variant>
      <vt:variant>
        <vt:lpwstr/>
      </vt:variant>
      <vt:variant>
        <vt:lpwstr>_Toc240960036</vt:lpwstr>
      </vt:variant>
      <vt:variant>
        <vt:i4>1638452</vt:i4>
      </vt:variant>
      <vt:variant>
        <vt:i4>65</vt:i4>
      </vt:variant>
      <vt:variant>
        <vt:i4>0</vt:i4>
      </vt:variant>
      <vt:variant>
        <vt:i4>5</vt:i4>
      </vt:variant>
      <vt:variant>
        <vt:lpwstr/>
      </vt:variant>
      <vt:variant>
        <vt:lpwstr>_Toc240960035</vt:lpwstr>
      </vt:variant>
      <vt:variant>
        <vt:i4>1638452</vt:i4>
      </vt:variant>
      <vt:variant>
        <vt:i4>59</vt:i4>
      </vt:variant>
      <vt:variant>
        <vt:i4>0</vt:i4>
      </vt:variant>
      <vt:variant>
        <vt:i4>5</vt:i4>
      </vt:variant>
      <vt:variant>
        <vt:lpwstr/>
      </vt:variant>
      <vt:variant>
        <vt:lpwstr>_Toc240960034</vt:lpwstr>
      </vt:variant>
      <vt:variant>
        <vt:i4>1638452</vt:i4>
      </vt:variant>
      <vt:variant>
        <vt:i4>53</vt:i4>
      </vt:variant>
      <vt:variant>
        <vt:i4>0</vt:i4>
      </vt:variant>
      <vt:variant>
        <vt:i4>5</vt:i4>
      </vt:variant>
      <vt:variant>
        <vt:lpwstr/>
      </vt:variant>
      <vt:variant>
        <vt:lpwstr>_Toc240960033</vt:lpwstr>
      </vt:variant>
      <vt:variant>
        <vt:i4>1638452</vt:i4>
      </vt:variant>
      <vt:variant>
        <vt:i4>47</vt:i4>
      </vt:variant>
      <vt:variant>
        <vt:i4>0</vt:i4>
      </vt:variant>
      <vt:variant>
        <vt:i4>5</vt:i4>
      </vt:variant>
      <vt:variant>
        <vt:lpwstr/>
      </vt:variant>
      <vt:variant>
        <vt:lpwstr>_Toc240960032</vt:lpwstr>
      </vt:variant>
      <vt:variant>
        <vt:i4>1638452</vt:i4>
      </vt:variant>
      <vt:variant>
        <vt:i4>41</vt:i4>
      </vt:variant>
      <vt:variant>
        <vt:i4>0</vt:i4>
      </vt:variant>
      <vt:variant>
        <vt:i4>5</vt:i4>
      </vt:variant>
      <vt:variant>
        <vt:lpwstr/>
      </vt:variant>
      <vt:variant>
        <vt:lpwstr>_Toc240960031</vt:lpwstr>
      </vt:variant>
      <vt:variant>
        <vt:i4>1638452</vt:i4>
      </vt:variant>
      <vt:variant>
        <vt:i4>35</vt:i4>
      </vt:variant>
      <vt:variant>
        <vt:i4>0</vt:i4>
      </vt:variant>
      <vt:variant>
        <vt:i4>5</vt:i4>
      </vt:variant>
      <vt:variant>
        <vt:lpwstr/>
      </vt:variant>
      <vt:variant>
        <vt:lpwstr>_Toc240960030</vt:lpwstr>
      </vt:variant>
      <vt:variant>
        <vt:i4>1572916</vt:i4>
      </vt:variant>
      <vt:variant>
        <vt:i4>29</vt:i4>
      </vt:variant>
      <vt:variant>
        <vt:i4>0</vt:i4>
      </vt:variant>
      <vt:variant>
        <vt:i4>5</vt:i4>
      </vt:variant>
      <vt:variant>
        <vt:lpwstr/>
      </vt:variant>
      <vt:variant>
        <vt:lpwstr>_Toc240960029</vt:lpwstr>
      </vt:variant>
      <vt:variant>
        <vt:i4>1572916</vt:i4>
      </vt:variant>
      <vt:variant>
        <vt:i4>23</vt:i4>
      </vt:variant>
      <vt:variant>
        <vt:i4>0</vt:i4>
      </vt:variant>
      <vt:variant>
        <vt:i4>5</vt:i4>
      </vt:variant>
      <vt:variant>
        <vt:lpwstr/>
      </vt:variant>
      <vt:variant>
        <vt:lpwstr>_Toc240960028</vt:lpwstr>
      </vt:variant>
      <vt:variant>
        <vt:i4>1572916</vt:i4>
      </vt:variant>
      <vt:variant>
        <vt:i4>17</vt:i4>
      </vt:variant>
      <vt:variant>
        <vt:i4>0</vt:i4>
      </vt:variant>
      <vt:variant>
        <vt:i4>5</vt:i4>
      </vt:variant>
      <vt:variant>
        <vt:lpwstr/>
      </vt:variant>
      <vt:variant>
        <vt:lpwstr>_Toc240960027</vt:lpwstr>
      </vt:variant>
      <vt:variant>
        <vt:i4>1572916</vt:i4>
      </vt:variant>
      <vt:variant>
        <vt:i4>11</vt:i4>
      </vt:variant>
      <vt:variant>
        <vt:i4>0</vt:i4>
      </vt:variant>
      <vt:variant>
        <vt:i4>5</vt:i4>
      </vt:variant>
      <vt:variant>
        <vt:lpwstr/>
      </vt:variant>
      <vt:variant>
        <vt:lpwstr>_Toc240960026</vt:lpwstr>
      </vt:variant>
      <vt:variant>
        <vt:i4>1572916</vt:i4>
      </vt:variant>
      <vt:variant>
        <vt:i4>5</vt:i4>
      </vt:variant>
      <vt:variant>
        <vt:i4>0</vt:i4>
      </vt:variant>
      <vt:variant>
        <vt:i4>5</vt:i4>
      </vt:variant>
      <vt:variant>
        <vt:lpwstr/>
      </vt:variant>
      <vt:variant>
        <vt:lpwstr>_Toc240960025</vt:lpwstr>
      </vt:variant>
      <vt:variant>
        <vt:i4>7995410</vt:i4>
      </vt:variant>
      <vt:variant>
        <vt:i4>0</vt:i4>
      </vt:variant>
      <vt:variant>
        <vt:i4>0</vt:i4>
      </vt:variant>
      <vt:variant>
        <vt:i4>5</vt:i4>
      </vt:variant>
      <vt:variant>
        <vt:lpwstr>mailto:digitalhealth@naccho.org.au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NACCHO Artificial Intelligence Governance Toolkit title</dc:title>
  <dc:subject/>
  <dc:creator/>
  <cp:keywords/>
  <dc:description/>
  <cp:lastModifiedBy>NACCHO</cp:lastModifiedBy>
  <cp:revision>29</cp:revision>
  <cp:lastPrinted>2024-10-11T22:13:00Z</cp:lastPrinted>
  <dcterms:created xsi:type="dcterms:W3CDTF">2026-09-22T16:47:00Z</dcterms:created>
  <dcterms:modified xsi:type="dcterms:W3CDTF">2026-09-22T22:12:00Z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0x010100A5C55CD406EC7F43B971D048DFE5FCD8</vt:lpwstr>
  </property>
  <property fmtid="{D5CDD505-2E9C-101B-9397-08002B2CF9AE}" pid="4" name="docLang">
    <vt:lpwstr>en</vt:lpwstr>
  </property>
</Properties>
</file>